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ind w:left="1600" w:right="1059" w:firstLine="0"/>
        <w:jc w:val="center"/>
        <w:rPr>
          <w:b/>
          <w:sz w:val="36"/>
          <w:u w:val="single"/>
        </w:rPr>
      </w:pPr>
      <w:r>
        <w:rPr>
          <w:b/>
          <w:sz w:val="36"/>
          <w:u w:val="single"/>
        </w:rPr>
        <w:t>中新-</w:t>
      </w:r>
      <w:r>
        <w:rPr>
          <w:rFonts w:hint="eastAsia"/>
          <w:b/>
          <w:sz w:val="36"/>
          <w:u w:val="single"/>
          <w:lang w:val="en-US" w:eastAsia="zh-CN"/>
        </w:rPr>
        <w:t>新天地</w:t>
      </w:r>
      <w:r>
        <w:rPr>
          <w:b/>
          <w:sz w:val="36"/>
          <w:u w:val="single"/>
        </w:rPr>
        <w:t>项目-</w:t>
      </w:r>
      <w:r>
        <w:rPr>
          <w:rFonts w:hint="eastAsia"/>
          <w:b/>
          <w:sz w:val="36"/>
          <w:u w:val="single"/>
          <w:lang w:val="en-US" w:eastAsia="zh-CN"/>
        </w:rPr>
        <w:t>地暖专业</w:t>
      </w:r>
      <w:r>
        <w:rPr>
          <w:b/>
          <w:sz w:val="36"/>
          <w:u w:val="single"/>
        </w:rPr>
        <w:t>分包</w:t>
      </w:r>
    </w:p>
    <w:p>
      <w:pPr>
        <w:spacing w:before="20"/>
        <w:ind w:left="1600" w:right="1059" w:firstLine="0"/>
        <w:jc w:val="center"/>
        <w:rPr>
          <w:b/>
          <w:sz w:val="36"/>
        </w:rPr>
      </w:pPr>
      <w:r>
        <w:rPr>
          <w:b/>
          <w:sz w:val="36"/>
        </w:rPr>
        <w:t>招标公告</w:t>
      </w:r>
      <w:r>
        <w:rPr>
          <w:b/>
          <w:w w:val="99"/>
          <w:sz w:val="36"/>
        </w:rPr>
        <w:t xml:space="preserve"> </w:t>
      </w:r>
    </w:p>
    <w:p>
      <w:pPr>
        <w:pStyle w:val="3"/>
        <w:spacing w:before="153" w:line="244" w:lineRule="auto"/>
        <w:ind w:right="263" w:firstLine="479"/>
      </w:pPr>
      <w:r>
        <w:t>为满足施工生产需要，现就本招标公告所述工程项目</w:t>
      </w:r>
      <w:r>
        <w:rPr>
          <w:rFonts w:hint="eastAsia"/>
          <w:u w:val="single"/>
          <w:lang w:val="en-US" w:eastAsia="zh-CN"/>
        </w:rPr>
        <w:t>地暖工程</w:t>
      </w:r>
      <w:r>
        <w:t xml:space="preserve">进行招标采购，诚邀合格的投标人参与报名，具体要求如下： </w:t>
      </w:r>
    </w:p>
    <w:p>
      <w:pPr>
        <w:pStyle w:val="2"/>
        <w:spacing w:before="76"/>
      </w:pPr>
      <w:r>
        <w:t>一、基本情况</w:t>
      </w:r>
    </w:p>
    <w:p>
      <w:pPr>
        <w:pStyle w:val="3"/>
        <w:rPr>
          <w:rFonts w:hint="eastAsia" w:eastAsia="宋体"/>
          <w:lang w:val="en-US" w:eastAsia="zh-CN"/>
        </w:rPr>
      </w:pPr>
      <w:r>
        <w:t>1.1 招标组织：</w:t>
      </w:r>
      <w:r>
        <w:rPr>
          <w:rFonts w:hint="eastAsia"/>
          <w:u w:val="single"/>
          <w:lang w:val="en-US" w:eastAsia="zh-CN"/>
        </w:rPr>
        <w:t xml:space="preserve">中建中新建设工程有限公司 </w:t>
      </w:r>
    </w:p>
    <w:p>
      <w:pPr>
        <w:pStyle w:val="3"/>
        <w:rPr>
          <w:rFonts w:hint="eastAsia"/>
          <w:spacing w:val="-1"/>
          <w:u w:val="single"/>
          <w:lang w:val="en-US" w:eastAsia="zh-CN"/>
        </w:rPr>
      </w:pPr>
      <w:r>
        <w:t>1.2</w:t>
      </w:r>
      <w:r>
        <w:rPr>
          <w:spacing w:val="-1"/>
        </w:rPr>
        <w:t xml:space="preserve"> 招标项目：</w:t>
      </w:r>
      <w:r>
        <w:rPr>
          <w:rFonts w:hint="eastAsia"/>
          <w:spacing w:val="-1"/>
          <w:u w:val="single"/>
          <w:lang w:val="en-US" w:eastAsia="zh-CN"/>
        </w:rPr>
        <w:t>新天地3号地块（06-31-3）项目</w:t>
      </w:r>
    </w:p>
    <w:p>
      <w:pPr>
        <w:pStyle w:val="3"/>
        <w:rPr>
          <w:rFonts w:hint="eastAsia"/>
          <w:spacing w:val="-1"/>
          <w:u w:val="single"/>
          <w:lang w:val="en-US" w:eastAsia="zh-CN"/>
        </w:rPr>
      </w:pPr>
      <w:r>
        <w:t>1.3</w:t>
      </w:r>
      <w:r>
        <w:rPr>
          <w:spacing w:val="-1"/>
        </w:rPr>
        <w:t xml:space="preserve"> 工程地点：</w:t>
      </w:r>
      <w:r>
        <w:rPr>
          <w:rFonts w:hint="eastAsia"/>
          <w:spacing w:val="-1"/>
          <w:u w:val="single"/>
          <w:lang w:val="en-US" w:eastAsia="zh-CN"/>
        </w:rPr>
        <w:t>青</w:t>
      </w:r>
      <w:r>
        <w:rPr>
          <w:rFonts w:hint="eastAsia"/>
          <w:spacing w:val="-1"/>
          <w:u w:val="single"/>
          <w:lang w:val="en-US" w:eastAsia="zh-CN"/>
        </w:rPr>
        <w:t xml:space="preserve">岛市崂山区云岭路以西银川东路以北 </w:t>
      </w:r>
    </w:p>
    <w:p>
      <w:pPr>
        <w:pStyle w:val="3"/>
        <w:spacing w:before="81"/>
        <w:rPr>
          <w:rFonts w:hint="eastAsia" w:eastAsia="宋体"/>
          <w:lang w:val="en-US" w:eastAsia="zh-CN"/>
        </w:rPr>
      </w:pPr>
      <w:r>
        <w:t>1.4</w:t>
      </w:r>
      <w:r>
        <w:rPr>
          <w:spacing w:val="-1"/>
        </w:rPr>
        <w:t xml:space="preserve"> 项目概况：</w:t>
      </w:r>
      <w:r>
        <w:rPr>
          <w:rFonts w:hint="eastAsia"/>
          <w:spacing w:val="-1"/>
          <w:u w:val="single"/>
        </w:rPr>
        <w:t>本项目为朱家洼社区改造项目(新天地3号地块)(住宅/商业办公/配套用房/车库)。总建筑面积190866.75平方米,地上总建筑面积139017.75平方米,地下总面积51849平方米。其中一期建筑面积84271.11平方米,二期建筑面积86384.01平方米,三期建筑面积20211.63平方米。</w:t>
      </w:r>
      <w:r>
        <w:rPr>
          <w:rFonts w:hint="eastAsia"/>
          <w:u w:val="single"/>
          <w:lang w:val="en-US" w:eastAsia="zh-CN"/>
        </w:rPr>
        <w:t xml:space="preserve"> </w:t>
      </w:r>
    </w:p>
    <w:p>
      <w:pPr>
        <w:pStyle w:val="4"/>
        <w:keepNext w:val="0"/>
        <w:keepLines w:val="0"/>
        <w:widowControl/>
        <w:suppressLineNumbers w:val="0"/>
        <w:spacing w:before="48" w:beforeAutospacing="0" w:after="48" w:afterAutospacing="0"/>
        <w:ind w:left="0" w:right="0" w:firstLine="336"/>
        <w:rPr>
          <w:rFonts w:hint="eastAsia" w:ascii="宋体" w:hAnsi="宋体" w:eastAsia="宋体" w:cs="宋体"/>
          <w:spacing w:val="-1"/>
          <w:kern w:val="0"/>
          <w:sz w:val="24"/>
          <w:szCs w:val="24"/>
          <w:u w:val="single"/>
          <w:lang w:val="en-US" w:eastAsia="zh-CN" w:bidi="zh-CN"/>
        </w:rPr>
      </w:pPr>
      <w:r>
        <w:t>1.5 招标内容：</w:t>
      </w:r>
      <w:r>
        <w:rPr>
          <w:u w:val="single"/>
        </w:rPr>
        <w:t xml:space="preserve"> </w:t>
      </w:r>
      <w:r>
        <w:rPr>
          <w:rFonts w:hint="eastAsia" w:ascii="宋体" w:hAnsi="宋体" w:eastAsia="宋体" w:cs="宋体"/>
          <w:spacing w:val="-1"/>
          <w:kern w:val="0"/>
          <w:sz w:val="24"/>
          <w:szCs w:val="24"/>
          <w:u w:val="single"/>
          <w:lang w:val="en-US" w:eastAsia="zh-CN" w:bidi="zh-CN"/>
        </w:rPr>
        <w:t>本次招标范围为完成 新天地3号地块（06-31-3号）工程地暖需要提供地板辐射采暖系统的区域</w:t>
      </w:r>
    </w:p>
    <w:p>
      <w:pPr>
        <w:pStyle w:val="4"/>
        <w:keepNext w:val="0"/>
        <w:keepLines w:val="0"/>
        <w:widowControl/>
        <w:suppressLineNumbers w:val="0"/>
        <w:spacing w:before="48" w:beforeAutospacing="0" w:after="48" w:afterAutospacing="0"/>
        <w:ind w:left="0" w:right="0" w:firstLine="336"/>
        <w:rPr>
          <w:rFonts w:hint="eastAsia" w:ascii="宋体" w:hAnsi="宋体" w:eastAsia="宋体" w:cs="宋体"/>
          <w:spacing w:val="-1"/>
          <w:kern w:val="0"/>
          <w:sz w:val="24"/>
          <w:szCs w:val="24"/>
          <w:u w:val="single"/>
          <w:lang w:val="en-US" w:eastAsia="zh-CN" w:bidi="zh-CN"/>
        </w:rPr>
      </w:pPr>
      <w:r>
        <w:rPr>
          <w:rFonts w:hint="eastAsia" w:ascii="宋体" w:hAnsi="宋体" w:eastAsia="宋体" w:cs="宋体"/>
          <w:spacing w:val="-1"/>
          <w:kern w:val="0"/>
          <w:sz w:val="24"/>
          <w:szCs w:val="24"/>
          <w:u w:val="single"/>
          <w:lang w:val="en-US" w:eastAsia="zh-CN" w:bidi="zh-CN"/>
        </w:rPr>
        <w:t>（根据招标内容实际调整，以下为地暖工程 ）</w:t>
      </w:r>
    </w:p>
    <w:p>
      <w:pPr>
        <w:pStyle w:val="4"/>
        <w:keepNext w:val="0"/>
        <w:keepLines w:val="0"/>
        <w:widowControl/>
        <w:suppressLineNumbers w:val="0"/>
        <w:spacing w:before="48" w:beforeAutospacing="0" w:after="48" w:afterAutospacing="0"/>
        <w:ind w:left="0" w:right="0" w:firstLine="336"/>
        <w:rPr>
          <w:rFonts w:hint="eastAsia" w:ascii="宋体" w:hAnsi="宋体" w:eastAsia="宋体" w:cs="宋体"/>
          <w:spacing w:val="-1"/>
          <w:kern w:val="0"/>
          <w:sz w:val="24"/>
          <w:szCs w:val="24"/>
          <w:u w:val="single"/>
          <w:lang w:val="en-US" w:eastAsia="zh-CN" w:bidi="zh-CN"/>
        </w:rPr>
      </w:pPr>
      <w:r>
        <w:rPr>
          <w:rFonts w:hint="eastAsia" w:ascii="宋体" w:hAnsi="宋体" w:eastAsia="宋体" w:cs="宋体"/>
          <w:spacing w:val="-1"/>
          <w:kern w:val="0"/>
          <w:sz w:val="24"/>
          <w:szCs w:val="24"/>
          <w:u w:val="single"/>
          <w:lang w:val="en-US" w:eastAsia="zh-CN" w:bidi="zh-CN"/>
        </w:rPr>
        <w:t>户内部分：包含但不仅限于以下施工内容：户内部分自集分水器前端铜球阀开始计算，按地暖实铺面积计算</w:t>
      </w:r>
    </w:p>
    <w:p>
      <w:pPr>
        <w:pStyle w:val="4"/>
        <w:keepNext w:val="0"/>
        <w:keepLines w:val="0"/>
        <w:widowControl/>
        <w:suppressLineNumbers w:val="0"/>
        <w:spacing w:before="48" w:beforeAutospacing="0" w:after="48" w:afterAutospacing="0"/>
        <w:ind w:left="0" w:right="0" w:firstLine="336"/>
        <w:rPr>
          <w:rFonts w:hint="eastAsia" w:ascii="宋体" w:hAnsi="宋体" w:eastAsia="宋体" w:cs="宋体"/>
          <w:spacing w:val="-1"/>
          <w:kern w:val="0"/>
          <w:sz w:val="24"/>
          <w:szCs w:val="24"/>
          <w:u w:val="single"/>
          <w:lang w:val="en-US" w:eastAsia="zh-CN" w:bidi="zh-CN"/>
        </w:rPr>
      </w:pPr>
      <w:r>
        <w:rPr>
          <w:rFonts w:hint="eastAsia" w:ascii="宋体" w:hAnsi="宋体" w:eastAsia="宋体" w:cs="宋体"/>
          <w:spacing w:val="-1"/>
          <w:kern w:val="0"/>
          <w:sz w:val="24"/>
          <w:szCs w:val="24"/>
          <w:u w:val="single"/>
          <w:lang w:val="en-US" w:eastAsia="zh-CN" w:bidi="zh-CN"/>
        </w:rPr>
        <w:t>施工内容：分集水器供应及安装、地暖盘管供应及安装、分集水器的连接阀门的供应及安装。</w:t>
      </w:r>
    </w:p>
    <w:p>
      <w:pPr>
        <w:pStyle w:val="4"/>
        <w:keepNext w:val="0"/>
        <w:keepLines w:val="0"/>
        <w:widowControl/>
        <w:suppressLineNumbers w:val="0"/>
        <w:spacing w:before="48" w:beforeAutospacing="0" w:after="48" w:afterAutospacing="0"/>
        <w:ind w:left="0" w:right="0" w:firstLine="336"/>
        <w:rPr>
          <w:rFonts w:hint="eastAsia" w:ascii="宋体" w:hAnsi="宋体" w:eastAsia="宋体" w:cs="宋体"/>
          <w:spacing w:val="-1"/>
          <w:kern w:val="0"/>
          <w:sz w:val="24"/>
          <w:szCs w:val="24"/>
          <w:u w:val="single"/>
          <w:lang w:val="en-US" w:eastAsia="zh-CN" w:bidi="zh-CN"/>
        </w:rPr>
      </w:pPr>
      <w:r>
        <w:rPr>
          <w:rFonts w:hint="eastAsia" w:ascii="宋体" w:hAnsi="宋体" w:eastAsia="宋体" w:cs="宋体"/>
          <w:spacing w:val="-1"/>
          <w:kern w:val="0"/>
          <w:sz w:val="24"/>
          <w:szCs w:val="24"/>
          <w:u w:val="single"/>
          <w:lang w:val="en-US" w:eastAsia="zh-CN" w:bidi="zh-CN"/>
        </w:rPr>
        <w:t>地面做法：1、20mm厚聚苯乙烯泡沫塑料板；2、反射膜一层；3、沿外墙的周边粘贴20mm*50mm苯板条,确保粘贴牢固；4、进出分集水器位置的管道和间距小于100mm的管道上加装塑料保护管（供应及安装）；5、穿墙处加装塑料保护管（供应及安装）；6、其他图纸要求的一切工作内容。</w:t>
      </w:r>
    </w:p>
    <w:p>
      <w:pPr>
        <w:pStyle w:val="4"/>
        <w:keepNext w:val="0"/>
        <w:keepLines w:val="0"/>
        <w:widowControl/>
        <w:suppressLineNumbers w:val="0"/>
        <w:spacing w:before="48" w:beforeAutospacing="0" w:after="48" w:afterAutospacing="0"/>
        <w:ind w:left="0" w:right="0" w:firstLine="336"/>
        <w:rPr>
          <w:rFonts w:hint="eastAsia" w:ascii="宋体" w:hAnsi="宋体" w:eastAsia="宋体" w:cs="宋体"/>
          <w:spacing w:val="-1"/>
          <w:kern w:val="0"/>
          <w:sz w:val="24"/>
          <w:szCs w:val="24"/>
          <w:u w:val="single"/>
          <w:lang w:val="en-US" w:eastAsia="zh-CN" w:bidi="zh-CN"/>
        </w:rPr>
      </w:pPr>
      <w:r>
        <w:rPr>
          <w:rFonts w:hint="eastAsia" w:ascii="宋体" w:hAnsi="宋体" w:eastAsia="宋体" w:cs="宋体"/>
          <w:spacing w:val="-1"/>
          <w:kern w:val="0"/>
          <w:sz w:val="24"/>
          <w:szCs w:val="24"/>
          <w:u w:val="single"/>
          <w:lang w:val="en-US" w:eastAsia="zh-CN" w:bidi="zh-CN"/>
        </w:rPr>
        <w:t>调试：地暖系统调试、打压；带压交房，压力等级不低于0.4MPa，配合土建承包单位的施工进度要求进行协调及施工配合，参与工作面交接并签字。</w:t>
      </w:r>
    </w:p>
    <w:p>
      <w:pPr>
        <w:pStyle w:val="4"/>
        <w:keepNext w:val="0"/>
        <w:keepLines w:val="0"/>
        <w:widowControl/>
        <w:suppressLineNumbers w:val="0"/>
        <w:spacing w:before="48" w:beforeAutospacing="0" w:after="48" w:afterAutospacing="0"/>
        <w:ind w:left="0" w:right="0" w:firstLine="336"/>
        <w:rPr>
          <w:rFonts w:hint="eastAsia" w:ascii="宋体" w:hAnsi="宋体" w:eastAsia="宋体" w:cs="宋体"/>
          <w:spacing w:val="-1"/>
          <w:kern w:val="0"/>
          <w:sz w:val="24"/>
          <w:szCs w:val="24"/>
          <w:u w:val="single"/>
          <w:lang w:val="en-US" w:eastAsia="zh-CN" w:bidi="zh-CN"/>
        </w:rPr>
      </w:pPr>
      <w:r>
        <w:rPr>
          <w:rFonts w:hint="eastAsia" w:ascii="宋体" w:hAnsi="宋体" w:eastAsia="宋体" w:cs="宋体"/>
          <w:spacing w:val="-1"/>
          <w:kern w:val="0"/>
          <w:sz w:val="24"/>
          <w:szCs w:val="24"/>
          <w:u w:val="single"/>
          <w:lang w:val="en-US" w:eastAsia="zh-CN" w:bidi="zh-CN"/>
        </w:rPr>
        <w:t>户外部分：1、管道井内阀门或热计量表后（不含热量表、阀门）至分集水器的地暖入户管供应及安装；2、管井内地暖入户管与采暖主管的接驳；3、调试打压。</w:t>
      </w:r>
    </w:p>
    <w:p>
      <w:pPr>
        <w:pStyle w:val="4"/>
        <w:keepNext w:val="0"/>
        <w:keepLines w:val="0"/>
        <w:widowControl/>
        <w:suppressLineNumbers w:val="0"/>
        <w:spacing w:before="48" w:beforeAutospacing="0" w:after="48" w:afterAutospacing="0"/>
        <w:ind w:left="0" w:right="0" w:firstLine="336"/>
        <w:rPr>
          <w:rFonts w:hint="eastAsia" w:ascii="宋体" w:hAnsi="宋体" w:eastAsia="宋体" w:cs="宋体"/>
          <w:spacing w:val="-1"/>
          <w:kern w:val="0"/>
          <w:sz w:val="24"/>
          <w:szCs w:val="24"/>
          <w:u w:val="single"/>
          <w:lang w:val="en-US" w:eastAsia="zh-CN" w:bidi="zh-CN"/>
        </w:rPr>
      </w:pPr>
      <w:r>
        <w:rPr>
          <w:rFonts w:hint="eastAsia" w:ascii="宋体" w:hAnsi="宋体" w:eastAsia="宋体" w:cs="宋体"/>
          <w:spacing w:val="-1"/>
          <w:kern w:val="0"/>
          <w:sz w:val="24"/>
          <w:szCs w:val="24"/>
          <w:u w:val="single"/>
          <w:lang w:val="en-US" w:eastAsia="zh-CN" w:bidi="zh-CN"/>
        </w:rPr>
        <w:t>包括但不限于地板辐射采暖系统即：分集水器至盘管末端安装、分集水器、地暖盘管、分集水器的连接阀门等与本分包工程相关的全部工作内容。</w:t>
      </w:r>
    </w:p>
    <w:p>
      <w:pPr>
        <w:pStyle w:val="4"/>
        <w:keepNext w:val="0"/>
        <w:keepLines w:val="0"/>
        <w:widowControl/>
        <w:suppressLineNumbers w:val="0"/>
        <w:spacing w:before="48" w:beforeAutospacing="0" w:after="48" w:afterAutospacing="0"/>
        <w:ind w:left="0" w:right="0" w:firstLine="336"/>
        <w:rPr>
          <w:rFonts w:hint="eastAsia" w:ascii="宋体" w:hAnsi="宋体" w:eastAsia="宋体" w:cs="宋体"/>
          <w:spacing w:val="-1"/>
          <w:kern w:val="0"/>
          <w:sz w:val="24"/>
          <w:szCs w:val="24"/>
          <w:u w:val="single"/>
          <w:lang w:val="en-US" w:eastAsia="zh-CN" w:bidi="zh-CN"/>
        </w:rPr>
      </w:pPr>
      <w:r>
        <w:rPr>
          <w:rFonts w:hint="eastAsia" w:ascii="宋体" w:hAnsi="宋体" w:eastAsia="宋体" w:cs="宋体"/>
          <w:spacing w:val="-1"/>
          <w:kern w:val="0"/>
          <w:sz w:val="24"/>
          <w:szCs w:val="24"/>
          <w:u w:val="single"/>
          <w:lang w:val="en-US" w:eastAsia="zh-CN" w:bidi="zh-CN"/>
        </w:rPr>
        <w:t>甲方委托乙方采购材料的范围：按清单执行。</w:t>
      </w:r>
    </w:p>
    <w:p>
      <w:pPr>
        <w:pStyle w:val="4"/>
        <w:keepNext w:val="0"/>
        <w:keepLines w:val="0"/>
        <w:widowControl/>
        <w:suppressLineNumbers w:val="0"/>
        <w:spacing w:before="48" w:beforeAutospacing="0" w:after="48" w:afterAutospacing="0"/>
        <w:ind w:left="0" w:right="0" w:firstLine="336"/>
        <w:rPr>
          <w:rFonts w:hint="default" w:ascii="宋体" w:hAnsi="宋体" w:eastAsia="宋体" w:cs="宋体"/>
          <w:spacing w:val="-1"/>
          <w:kern w:val="0"/>
          <w:sz w:val="24"/>
          <w:szCs w:val="24"/>
          <w:u w:val="single"/>
          <w:lang w:val="en-US" w:eastAsia="zh-CN" w:bidi="zh-CN"/>
        </w:rPr>
      </w:pPr>
      <w:r>
        <w:rPr>
          <w:rFonts w:hint="eastAsia" w:ascii="宋体" w:hAnsi="宋体" w:eastAsia="宋体" w:cs="宋体"/>
          <w:spacing w:val="-1"/>
          <w:kern w:val="0"/>
          <w:sz w:val="24"/>
          <w:szCs w:val="24"/>
          <w:u w:val="single"/>
          <w:lang w:val="en-US" w:eastAsia="zh-CN" w:bidi="zh-CN"/>
        </w:rPr>
        <w:t>注：本次招标除包含以上工作内容，投标方还应充分考虑国家、山东省相关规范及青岛市及崂山区相关政府职能部门的其他要求。    </w:t>
      </w:r>
    </w:p>
    <w:p>
      <w:pPr>
        <w:pStyle w:val="3"/>
        <w:spacing w:line="302" w:lineRule="auto"/>
        <w:ind w:right="2183"/>
        <w:rPr>
          <w:b/>
        </w:rPr>
      </w:pPr>
      <w:r>
        <w:rPr>
          <w:b/>
          <w:w w:val="95"/>
        </w:rPr>
        <w:t>二、投标人资格</w:t>
      </w:r>
      <w:r>
        <w:rPr>
          <w:b/>
          <w:w w:val="99"/>
        </w:rPr>
        <w:t xml:space="preserve"> </w:t>
      </w:r>
    </w:p>
    <w:p>
      <w:pPr>
        <w:pStyle w:val="9"/>
        <w:numPr>
          <w:ilvl w:val="1"/>
          <w:numId w:val="1"/>
        </w:numPr>
        <w:tabs>
          <w:tab w:val="left" w:pos="482"/>
        </w:tabs>
        <w:spacing w:before="0" w:after="0" w:line="306" w:lineRule="exact"/>
        <w:ind w:left="481" w:right="0" w:hanging="362"/>
        <w:jc w:val="left"/>
        <w:rPr>
          <w:sz w:val="24"/>
        </w:rPr>
      </w:pPr>
      <w:r>
        <w:rPr>
          <w:sz w:val="24"/>
        </w:rPr>
        <w:t xml:space="preserve">具备法律主体资格，具有独立订立及履行合同的能力。 </w:t>
      </w:r>
    </w:p>
    <w:p>
      <w:pPr>
        <w:pStyle w:val="9"/>
        <w:numPr>
          <w:ilvl w:val="1"/>
          <w:numId w:val="1"/>
        </w:numPr>
        <w:tabs>
          <w:tab w:val="left" w:pos="482"/>
        </w:tabs>
        <w:spacing w:before="81" w:after="0" w:line="240" w:lineRule="auto"/>
        <w:ind w:left="481" w:right="0" w:hanging="362"/>
        <w:jc w:val="left"/>
        <w:rPr>
          <w:sz w:val="24"/>
        </w:rPr>
      </w:pPr>
      <w:r>
        <w:rPr>
          <w:sz w:val="24"/>
        </w:rPr>
        <w:t xml:space="preserve">能够开具符合国家税法要求的增值税专用发票。 </w:t>
      </w:r>
    </w:p>
    <w:p>
      <w:pPr>
        <w:pStyle w:val="9"/>
        <w:numPr>
          <w:ilvl w:val="1"/>
          <w:numId w:val="1"/>
        </w:numPr>
        <w:tabs>
          <w:tab w:val="left" w:pos="482"/>
        </w:tabs>
        <w:spacing w:before="77" w:after="0" w:line="244" w:lineRule="auto"/>
        <w:ind w:left="120" w:right="239" w:firstLine="0"/>
        <w:jc w:val="both"/>
        <w:rPr>
          <w:sz w:val="24"/>
        </w:rPr>
      </w:pPr>
      <w:r>
        <w:rPr>
          <w:spacing w:val="-7"/>
          <w:sz w:val="24"/>
        </w:rPr>
        <w:t>具备国家有关部门、行业或公司要求必须取得的质量、计量、安全、环保认</w:t>
      </w:r>
      <w:r>
        <w:rPr>
          <w:spacing w:val="-9"/>
          <w:sz w:val="24"/>
        </w:rPr>
        <w:t>证及其他经营许可；在国际有关部门和行业的监督检查中没有不良记录；与中建</w:t>
      </w:r>
      <w:r>
        <w:rPr>
          <w:sz w:val="24"/>
        </w:rPr>
        <w:t>各分子公司没有不良合作记录。</w:t>
      </w:r>
    </w:p>
    <w:p>
      <w:pPr>
        <w:pStyle w:val="9"/>
        <w:numPr>
          <w:ilvl w:val="1"/>
          <w:numId w:val="1"/>
        </w:numPr>
        <w:tabs>
          <w:tab w:val="left" w:pos="482"/>
        </w:tabs>
        <w:spacing w:before="72" w:after="0" w:line="240" w:lineRule="auto"/>
        <w:ind w:left="481" w:right="0" w:hanging="362"/>
        <w:jc w:val="left"/>
        <w:rPr>
          <w:sz w:val="24"/>
        </w:rPr>
      </w:pPr>
      <w:r>
        <w:rPr>
          <w:sz w:val="24"/>
        </w:rPr>
        <w:t>具有一定的经营规模和服务能力，投标人的企业注册资本不低于</w:t>
      </w:r>
      <w:r>
        <w:rPr>
          <w:rFonts w:hint="eastAsia"/>
          <w:sz w:val="24"/>
          <w:u w:val="single"/>
          <w:lang w:val="en-US" w:eastAsia="zh-CN"/>
        </w:rPr>
        <w:t xml:space="preserve"> 100 </w:t>
      </w:r>
      <w:r>
        <w:rPr>
          <w:sz w:val="24"/>
        </w:rPr>
        <w:t>万元。</w:t>
      </w:r>
    </w:p>
    <w:p>
      <w:pPr>
        <w:pStyle w:val="9"/>
        <w:numPr>
          <w:ilvl w:val="1"/>
          <w:numId w:val="1"/>
        </w:numPr>
        <w:tabs>
          <w:tab w:val="left" w:pos="482"/>
        </w:tabs>
        <w:spacing w:before="79" w:after="0" w:line="240" w:lineRule="auto"/>
        <w:ind w:left="481" w:right="0" w:hanging="362"/>
        <w:jc w:val="left"/>
        <w:rPr>
          <w:sz w:val="24"/>
        </w:rPr>
      </w:pPr>
      <w:r>
        <w:rPr>
          <w:sz w:val="24"/>
        </w:rPr>
        <w:t>具有良好的商业信誉和健全的财务会计制度。</w:t>
      </w:r>
    </w:p>
    <w:p>
      <w:pPr>
        <w:pStyle w:val="9"/>
        <w:numPr>
          <w:ilvl w:val="1"/>
          <w:numId w:val="1"/>
        </w:numPr>
        <w:tabs>
          <w:tab w:val="left" w:pos="482"/>
        </w:tabs>
        <w:spacing w:before="81" w:after="0" w:line="240" w:lineRule="auto"/>
        <w:ind w:left="481" w:right="0" w:hanging="362"/>
        <w:jc w:val="left"/>
        <w:rPr>
          <w:sz w:val="24"/>
        </w:rPr>
      </w:pPr>
      <w:r>
        <w:rPr>
          <w:sz w:val="24"/>
        </w:rPr>
        <w:t>其他：</w:t>
      </w:r>
      <w:r>
        <w:rPr>
          <w:sz w:val="24"/>
          <w:u w:val="single"/>
        </w:rPr>
        <w:t xml:space="preserve"> </w:t>
      </w:r>
      <w:r>
        <w:rPr>
          <w:rFonts w:hint="eastAsia"/>
          <w:sz w:val="24"/>
          <w:u w:val="single"/>
          <w:lang w:val="en-US" w:eastAsia="zh-CN"/>
        </w:rPr>
        <w:t>/</w:t>
      </w:r>
    </w:p>
    <w:p>
      <w:pPr>
        <w:pStyle w:val="9"/>
        <w:numPr>
          <w:ilvl w:val="1"/>
          <w:numId w:val="1"/>
        </w:numPr>
        <w:tabs>
          <w:tab w:val="left" w:pos="482"/>
        </w:tabs>
        <w:spacing w:before="79" w:after="0" w:line="240" w:lineRule="auto"/>
        <w:ind w:left="481" w:right="0" w:hanging="362"/>
        <w:jc w:val="left"/>
        <w:rPr>
          <w:sz w:val="24"/>
        </w:rPr>
      </w:pPr>
      <w:r>
        <w:rPr>
          <w:sz w:val="24"/>
        </w:rPr>
        <w:t xml:space="preserve">符合上述条件，经招标工作小组审查合格后，方可成为合格的投标人。 </w:t>
      </w:r>
    </w:p>
    <w:p>
      <w:pPr>
        <w:pStyle w:val="3"/>
        <w:spacing w:before="156" w:line="312" w:lineRule="auto"/>
        <w:ind w:right="263"/>
      </w:pPr>
      <w:r>
        <w:t xml:space="preserve">*以上要求投标人必须同时满足，所提供的所有资质文件必须真实，且与投标人主体一致，如果需要年检的，请确保提供的文件已年检合格。 </w:t>
      </w:r>
    </w:p>
    <w:p>
      <w:pPr>
        <w:pStyle w:val="2"/>
      </w:pPr>
      <w:r>
        <w:t>三、投标报名</w:t>
      </w:r>
      <w:r>
        <w:rPr>
          <w:w w:val="99"/>
        </w:rPr>
        <w:t xml:space="preserve"> </w:t>
      </w:r>
    </w:p>
    <w:p>
      <w:pPr>
        <w:pStyle w:val="3"/>
      </w:pPr>
      <w:r>
        <w:t xml:space="preserve">3.1 报名方式：采取网上报名方式，通过“云筑网”上进行报名 </w:t>
      </w:r>
    </w:p>
    <w:p>
      <w:pPr>
        <w:pStyle w:val="3"/>
        <w:spacing w:before="78"/>
      </w:pPr>
      <w:r>
        <w:t xml:space="preserve">（网址 </w:t>
      </w:r>
      <w:r>
        <w:fldChar w:fldCharType="begin"/>
      </w:r>
      <w:r>
        <w:instrText xml:space="preserve"> HYPERLINK "http://www.yzw.cn/" \h </w:instrText>
      </w:r>
      <w:r>
        <w:fldChar w:fldCharType="separate"/>
      </w:r>
      <w:r>
        <w:t>https://www.yzw.cn/</w:t>
      </w:r>
      <w:r>
        <w:fldChar w:fldCharType="end"/>
      </w:r>
      <w:r>
        <w:t>），不接受其他方式报名。</w:t>
      </w:r>
    </w:p>
    <w:p>
      <w:pPr>
        <w:pStyle w:val="3"/>
        <w:spacing w:line="244" w:lineRule="auto"/>
        <w:ind w:right="264"/>
      </w:pPr>
      <w:r>
        <w:t>3.2 报名时间：</w:t>
      </w:r>
      <w:r>
        <w:rPr>
          <w:u w:val="single"/>
        </w:rPr>
        <w:t xml:space="preserve"> </w:t>
      </w:r>
      <w:r>
        <w:rPr>
          <w:rFonts w:hint="eastAsia"/>
          <w:u w:val="single"/>
          <w:lang w:val="en-US" w:eastAsia="zh-CN"/>
        </w:rPr>
        <w:t>2020.6.8-2020.6.12</w:t>
      </w:r>
      <w:r>
        <w:rPr>
          <w:u w:val="single"/>
        </w:rPr>
        <w:t xml:space="preserve"> </w:t>
      </w:r>
      <w:r>
        <w:t>，以云筑网公示报名截止时间为准，逾期不再接受投标单位的报名。</w:t>
      </w:r>
    </w:p>
    <w:p>
      <w:pPr>
        <w:pStyle w:val="3"/>
        <w:spacing w:before="71" w:line="244" w:lineRule="auto"/>
        <w:ind w:right="239"/>
        <w:jc w:val="both"/>
      </w:pPr>
      <w:r>
        <w:t>3.3</w:t>
      </w:r>
      <w:r>
        <w:rPr>
          <w:spacing w:val="-8"/>
        </w:rPr>
        <w:t xml:space="preserve"> 报名所需提交的资料至少包括：企业法人证明书或法人授权委托书、公司简</w:t>
      </w:r>
      <w:r>
        <w:rPr>
          <w:spacing w:val="-11"/>
        </w:rPr>
        <w:t>介、近三年的类似合同业绩和信誉等。以上资料扫描件在云筑网报名时以附件形</w:t>
      </w:r>
      <w:r>
        <w:t xml:space="preserve">式上传。无附件或附件资料不全视为不响应我司招标公告，资审不予通过。 </w:t>
      </w:r>
    </w:p>
    <w:p>
      <w:pPr>
        <w:pStyle w:val="2"/>
        <w:spacing w:before="72"/>
      </w:pPr>
      <w:r>
        <w:t>四、投标保证金</w:t>
      </w:r>
      <w:r>
        <w:rPr>
          <w:color w:val="FF0000"/>
        </w:rPr>
        <w:t>（根据需求自行选择）</w:t>
      </w:r>
      <w:r>
        <w:rPr>
          <w:color w:val="FF0000"/>
          <w:w w:val="99"/>
        </w:rPr>
        <w:t xml:space="preserve"> </w:t>
      </w:r>
    </w:p>
    <w:p>
      <w:pPr>
        <w:pStyle w:val="3"/>
        <w:spacing w:before="157"/>
      </w:pPr>
      <w:r>
        <mc:AlternateContent>
          <mc:Choice Requires="wps">
            <w:drawing>
              <wp:anchor distT="0" distB="0" distL="114300" distR="114300" simplePos="0" relativeHeight="251659264" behindDoc="0" locked="0" layoutInCell="1" allowOverlap="1">
                <wp:simplePos x="0" y="0"/>
                <wp:positionH relativeFrom="page">
                  <wp:posOffset>4026535</wp:posOffset>
                </wp:positionH>
                <wp:positionV relativeFrom="paragraph">
                  <wp:posOffset>303530</wp:posOffset>
                </wp:positionV>
                <wp:extent cx="152400" cy="224155"/>
                <wp:effectExtent l="0" t="0" r="0" b="4445"/>
                <wp:wrapNone/>
                <wp:docPr id="2" name="文本框 2"/>
                <wp:cNvGraphicFramePr/>
                <a:graphic xmlns:a="http://schemas.openxmlformats.org/drawingml/2006/main">
                  <a:graphicData uri="http://schemas.microsoft.com/office/word/2010/wordprocessingShape">
                    <wps:wsp>
                      <wps:cNvSpPr txBox="1"/>
                      <wps:spPr>
                        <a:xfrm>
                          <a:off x="0" y="0"/>
                          <a:ext cx="152400" cy="224155"/>
                        </a:xfrm>
                        <a:prstGeom prst="rect">
                          <a:avLst/>
                        </a:prstGeom>
                        <a:solidFill>
                          <a:srgbClr val="FFFF00"/>
                        </a:solidFill>
                        <a:ln>
                          <a:noFill/>
                        </a:ln>
                      </wps:spPr>
                      <wps:txbx>
                        <w:txbxContent>
                          <w:p>
                            <w:pPr>
                              <w:pStyle w:val="3"/>
                              <w:spacing w:line="274" w:lineRule="exact"/>
                              <w:ind w:left="0" w:right="-15"/>
                              <w:rPr>
                                <w:rFonts w:hint="eastAsia" w:eastAsia="宋体"/>
                                <w:lang w:val="en-US" w:eastAsia="zh-CN"/>
                              </w:rPr>
                            </w:pPr>
                            <w:r>
                              <w:rPr>
                                <w:rFonts w:hint="eastAsia"/>
                                <w:lang w:val="en-US" w:eastAsia="zh-CN"/>
                              </w:rPr>
                              <w:t>/</w:t>
                            </w:r>
                          </w:p>
                        </w:txbxContent>
                      </wps:txbx>
                      <wps:bodyPr lIns="0" tIns="0" rIns="0" bIns="0" upright="1"/>
                    </wps:wsp>
                  </a:graphicData>
                </a:graphic>
              </wp:anchor>
            </w:drawing>
          </mc:Choice>
          <mc:Fallback>
            <w:pict>
              <v:shape id="_x0000_s1026" o:spid="_x0000_s1026" o:spt="202" type="#_x0000_t202" style="position:absolute;left:0pt;margin-left:317.05pt;margin-top:23.9pt;height:17.65pt;width:12pt;mso-position-horizontal-relative:page;z-index:251659264;mso-width-relative:page;mso-height-relative:page;" fillcolor="#FFFF00" filled="t" stroked="f" coordsize="21600,21600" o:gfxdata="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inSNkAAAAJAQAADwAAAAAAAAABACAAAAAiAAAAZHJzL2Rvd25yZXYueG1sUEsBAhQAFAAAAAgA&#10;h07iQIKl4p6yAQAATAMAAA4AAAAAAAAAAQAgAAAAKAEAAGRycy9lMm9Eb2MueG1sUEsFBgAAAAAG&#10;AAYAWQEAAEwFAAAAAA==&#10;">
                <v:fill on="t" focussize="0,0"/>
                <v:stroke on="f"/>
                <v:imagedata o:title=""/>
                <o:lock v:ext="edit" aspectratio="f"/>
                <v:textbox inset="0mm,0mm,0mm,0mm">
                  <w:txbxContent>
                    <w:p>
                      <w:pPr>
                        <w:pStyle w:val="3"/>
                        <w:spacing w:line="274" w:lineRule="exact"/>
                        <w:ind w:left="0" w:right="-15"/>
                        <w:rPr>
                          <w:rFonts w:hint="eastAsia" w:eastAsia="宋体"/>
                          <w:lang w:val="en-US" w:eastAsia="zh-CN"/>
                        </w:rPr>
                      </w:pPr>
                      <w:r>
                        <w:rPr>
                          <w:rFonts w:hint="eastAsia"/>
                          <w:lang w:val="en-US" w:eastAsia="zh-CN"/>
                        </w:rPr>
                        <w:t>/</w:t>
                      </w:r>
                    </w:p>
                  </w:txbxContent>
                </v:textbox>
              </v:shape>
            </w:pict>
          </mc:Fallback>
        </mc:AlternateContent>
      </w:r>
      <w:r>
        <w:t>(一)投标保证金：投标人应在报名结束，且通过资格审核后，在招标文件规定的</w:t>
      </w:r>
    </w:p>
    <w:p>
      <w:pPr>
        <w:spacing w:after="0"/>
        <w:sectPr>
          <w:type w:val="continuous"/>
          <w:pgSz w:w="11910" w:h="16840"/>
          <w:pgMar w:top="1560" w:right="1560" w:bottom="280" w:left="1680" w:header="720" w:footer="720" w:gutter="0"/>
        </w:sectPr>
      </w:pPr>
    </w:p>
    <w:p>
      <w:pPr>
        <w:pStyle w:val="3"/>
        <w:spacing w:before="93" w:line="312" w:lineRule="auto"/>
        <w:ind w:right="38"/>
      </w:pPr>
      <w:r>
        <mc:AlternateContent>
          <mc:Choice Requires="wps">
            <w:drawing>
              <wp:anchor distT="0" distB="0" distL="114300" distR="114300" simplePos="0" relativeHeight="251572224" behindDoc="1" locked="0" layoutInCell="1" allowOverlap="1">
                <wp:simplePos x="0" y="0"/>
                <wp:positionH relativeFrom="page">
                  <wp:posOffset>3874135</wp:posOffset>
                </wp:positionH>
                <wp:positionV relativeFrom="paragraph">
                  <wp:posOffset>236220</wp:posOffset>
                </wp:positionV>
                <wp:extent cx="457200" cy="0"/>
                <wp:effectExtent l="0" t="0" r="0" b="0"/>
                <wp:wrapNone/>
                <wp:docPr id="1" name="直线 3"/>
                <wp:cNvGraphicFramePr/>
                <a:graphic xmlns:a="http://schemas.openxmlformats.org/drawingml/2006/main">
                  <a:graphicData uri="http://schemas.microsoft.com/office/word/2010/wordprocessingShape">
                    <wps:wsp>
                      <wps:cNvCnPr/>
                      <wps:spPr>
                        <a:xfrm>
                          <a:off x="0" y="0"/>
                          <a:ext cx="457200" cy="0"/>
                        </a:xfrm>
                        <a:prstGeom prst="line">
                          <a:avLst/>
                        </a:prstGeom>
                        <a:ln w="7621"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05.05pt;margin-top:18.6pt;height:0pt;width:36pt;mso-position-horizontal-relative:page;z-index:-251744256;mso-width-relative:page;mso-height-relative:page;" filled="f" stroked="t" coordsize="21600,21600" o:gfxdata="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HX4U7XAAAACQEAAA8AAAAAAAAAAQAgAAAAIgAAAGRy&#10;cy9kb3ducmV2LnhtbFBLAQIUABQAAAAIAIdO4kDYFKh3zQEAAIwDAAAOAAAAAAAAAAEAIAAAACYB&#10;AABkcnMvZTJvRG9jLnhtbFBLBQYAAAAABgAGAFkBAABlBQAAAAA=&#10;">
                <v:fill on="f" focussize="0,0"/>
                <v:stroke weight="0.60007874015748pt" color="#000000" joinstyle="round"/>
                <v:imagedata o:title=""/>
                <o:lock v:ext="edit" aspectratio="f"/>
              </v:line>
            </w:pict>
          </mc:Fallback>
        </mc:AlternateContent>
      </w:r>
      <w:r>
        <w:t xml:space="preserve">投标截止时间前缴纳，投标保证金人民币证金保险仅涵盖投标阶段。 </w:t>
      </w:r>
    </w:p>
    <w:p>
      <w:pPr>
        <w:pStyle w:val="3"/>
        <w:spacing w:before="93"/>
      </w:pPr>
      <w:r>
        <w:br w:type="column"/>
      </w:r>
      <w:r>
        <w:t xml:space="preserve">  万元整（大写：</w:t>
      </w:r>
      <w:r>
        <w:rPr>
          <w:rFonts w:hint="eastAsia"/>
          <w:lang w:val="en-US" w:eastAsia="zh-CN"/>
        </w:rPr>
        <w:t>/</w:t>
      </w:r>
      <w:r>
        <w:t>元）。投标保</w:t>
      </w:r>
    </w:p>
    <w:p>
      <w:pPr>
        <w:spacing w:after="0"/>
        <w:sectPr>
          <w:type w:val="continuous"/>
          <w:pgSz w:w="11910" w:h="16840"/>
          <w:pgMar w:top="1560" w:right="1560" w:bottom="280" w:left="1680" w:header="720" w:footer="720" w:gutter="0"/>
          <w:cols w:equalWidth="0" w:num="2">
            <w:col w:w="4582" w:space="199"/>
            <w:col w:w="3889"/>
          </w:cols>
        </w:sectPr>
      </w:pPr>
    </w:p>
    <w:p>
      <w:pPr>
        <w:pStyle w:val="3"/>
        <w:spacing w:before="76"/>
      </w:pPr>
      <w:r>
        <w:t xml:space="preserve">(二)若发生下列情况之一，招标人不予退还投标人所交纳的投标保证金： </w:t>
      </w:r>
    </w:p>
    <w:p>
      <w:pPr>
        <w:pStyle w:val="9"/>
        <w:numPr>
          <w:ilvl w:val="0"/>
          <w:numId w:val="2"/>
        </w:numPr>
        <w:tabs>
          <w:tab w:val="left" w:pos="362"/>
        </w:tabs>
        <w:spacing w:before="166" w:after="0" w:line="240" w:lineRule="auto"/>
        <w:ind w:left="361" w:right="0" w:hanging="242"/>
        <w:jc w:val="left"/>
        <w:rPr>
          <w:sz w:val="24"/>
        </w:rPr>
      </w:pPr>
      <w:r>
        <w:rPr>
          <w:spacing w:val="-3"/>
          <w:sz w:val="24"/>
        </w:rPr>
        <w:t>投标人在投标截止日起至招标人签发中标通知书日止期间撤消其投标文件的；</w:t>
      </w:r>
      <w:r>
        <w:rPr>
          <w:sz w:val="24"/>
        </w:rPr>
        <w:t xml:space="preserve"> </w:t>
      </w:r>
    </w:p>
    <w:p>
      <w:pPr>
        <w:spacing w:after="0" w:line="240" w:lineRule="auto"/>
        <w:jc w:val="left"/>
        <w:rPr>
          <w:sz w:val="24"/>
        </w:rPr>
        <w:sectPr>
          <w:type w:val="continuous"/>
          <w:pgSz w:w="11910" w:h="16840"/>
          <w:pgMar w:top="1560" w:right="1560" w:bottom="280" w:left="1680" w:header="720" w:footer="720" w:gutter="0"/>
        </w:sectPr>
      </w:pPr>
    </w:p>
    <w:p>
      <w:pPr>
        <w:pStyle w:val="9"/>
        <w:numPr>
          <w:ilvl w:val="0"/>
          <w:numId w:val="2"/>
        </w:numPr>
        <w:tabs>
          <w:tab w:val="left" w:pos="362"/>
        </w:tabs>
        <w:spacing w:before="40" w:after="0" w:line="240" w:lineRule="auto"/>
        <w:ind w:left="361" w:right="0" w:hanging="242"/>
        <w:jc w:val="left"/>
        <w:rPr>
          <w:sz w:val="24"/>
        </w:rPr>
      </w:pPr>
      <w:r>
        <w:rPr>
          <w:sz w:val="24"/>
        </w:rPr>
        <w:t xml:space="preserve">提供虚假的材料谋取中标的，包括报价阶段发现涉嫌围标现象的； </w:t>
      </w:r>
    </w:p>
    <w:p>
      <w:pPr>
        <w:pStyle w:val="9"/>
        <w:numPr>
          <w:ilvl w:val="0"/>
          <w:numId w:val="2"/>
        </w:numPr>
        <w:tabs>
          <w:tab w:val="left" w:pos="362"/>
        </w:tabs>
        <w:spacing w:before="169" w:after="0" w:line="240" w:lineRule="auto"/>
        <w:ind w:left="361" w:right="0" w:hanging="242"/>
        <w:jc w:val="left"/>
        <w:rPr>
          <w:sz w:val="24"/>
        </w:rPr>
      </w:pPr>
      <w:r>
        <w:rPr>
          <w:sz w:val="24"/>
        </w:rPr>
        <w:t xml:space="preserve">中标人在确认中标后在规定的期限内未按招标书要求与我司签订合同的； </w:t>
      </w:r>
    </w:p>
    <w:p>
      <w:pPr>
        <w:pStyle w:val="9"/>
        <w:numPr>
          <w:ilvl w:val="0"/>
          <w:numId w:val="2"/>
        </w:numPr>
        <w:tabs>
          <w:tab w:val="left" w:pos="362"/>
        </w:tabs>
        <w:spacing w:before="167" w:after="0" w:line="240" w:lineRule="auto"/>
        <w:ind w:left="361" w:right="0" w:hanging="242"/>
        <w:jc w:val="left"/>
        <w:rPr>
          <w:sz w:val="24"/>
        </w:rPr>
      </w:pPr>
      <w:r>
        <w:rPr>
          <w:sz w:val="24"/>
        </w:rPr>
        <w:t xml:space="preserve">违反廉政承诺内容的； </w:t>
      </w:r>
    </w:p>
    <w:p>
      <w:pPr>
        <w:pStyle w:val="9"/>
        <w:numPr>
          <w:ilvl w:val="0"/>
          <w:numId w:val="2"/>
        </w:numPr>
        <w:tabs>
          <w:tab w:val="left" w:pos="362"/>
        </w:tabs>
        <w:spacing w:before="168" w:after="0" w:line="312" w:lineRule="auto"/>
        <w:ind w:left="120" w:right="5783" w:firstLine="0"/>
        <w:jc w:val="left"/>
        <w:rPr>
          <w:b/>
          <w:sz w:val="24"/>
        </w:rPr>
      </w:pPr>
      <w:r>
        <w:rPr>
          <w:sz w:val="24"/>
        </w:rPr>
        <w:t>发生其它违规行为的。</w:t>
      </w:r>
      <w:r>
        <w:rPr>
          <w:b/>
          <w:sz w:val="24"/>
        </w:rPr>
        <w:t>五、发布标书时间</w:t>
      </w:r>
      <w:r>
        <w:rPr>
          <w:b/>
          <w:w w:val="99"/>
          <w:sz w:val="24"/>
        </w:rPr>
        <w:t xml:space="preserve"> </w:t>
      </w:r>
    </w:p>
    <w:p>
      <w:pPr>
        <w:pStyle w:val="9"/>
        <w:numPr>
          <w:ilvl w:val="1"/>
          <w:numId w:val="2"/>
        </w:numPr>
        <w:tabs>
          <w:tab w:val="left" w:pos="602"/>
        </w:tabs>
        <w:spacing w:before="0" w:after="0" w:line="290" w:lineRule="exact"/>
        <w:ind w:left="601" w:right="0" w:hanging="482"/>
        <w:jc w:val="left"/>
        <w:rPr>
          <w:sz w:val="24"/>
        </w:rPr>
      </w:pPr>
      <w:r>
        <w:rPr>
          <w:spacing w:val="-5"/>
          <w:sz w:val="24"/>
        </w:rPr>
        <w:t>招标人将通过云筑网告知投标人是否通过资格预审，对通过资格预审的投标</w:t>
      </w:r>
    </w:p>
    <w:p>
      <w:pPr>
        <w:pStyle w:val="3"/>
        <w:spacing w:before="7" w:line="302" w:lineRule="auto"/>
        <w:ind w:right="1703"/>
        <w:rPr>
          <w:b/>
        </w:rPr>
      </w:pPr>
      <w:r>
        <w:t>人发布招标文件，发布时间：以云筑网招标文件发放时间为准。</w:t>
      </w:r>
      <w:r>
        <w:rPr>
          <w:b/>
        </w:rPr>
        <w:t>六、结算方式</w:t>
      </w:r>
      <w:r>
        <w:rPr>
          <w:b/>
          <w:w w:val="99"/>
        </w:rPr>
        <w:t xml:space="preserve"> </w:t>
      </w:r>
    </w:p>
    <w:p>
      <w:pPr>
        <w:pStyle w:val="9"/>
        <w:numPr>
          <w:ilvl w:val="1"/>
          <w:numId w:val="3"/>
        </w:numPr>
        <w:tabs>
          <w:tab w:val="left" w:pos="541"/>
        </w:tabs>
        <w:spacing w:before="75" w:after="0" w:line="240" w:lineRule="auto"/>
        <w:ind w:left="540" w:right="0" w:hanging="421"/>
        <w:jc w:val="left"/>
        <w:rPr>
          <w:rFonts w:ascii="宋体" w:hAnsi="宋体"/>
          <w:szCs w:val="21"/>
          <w:highlight w:val="none"/>
        </w:rPr>
      </w:pPr>
      <w:r>
        <w:rPr>
          <w:sz w:val="24"/>
          <w:highlight w:val="none"/>
        </w:rPr>
        <w:t xml:space="preserve">结算方式： </w:t>
      </w:r>
    </w:p>
    <w:p>
      <w:pPr>
        <w:pStyle w:val="9"/>
        <w:numPr>
          <w:ilvl w:val="1"/>
          <w:numId w:val="3"/>
        </w:numPr>
        <w:tabs>
          <w:tab w:val="left" w:pos="541"/>
        </w:tabs>
        <w:spacing w:before="75" w:after="0" w:line="240" w:lineRule="auto"/>
        <w:ind w:left="540" w:right="0" w:hanging="421"/>
        <w:jc w:val="left"/>
        <w:rPr>
          <w:rFonts w:ascii="宋体" w:hAnsi="宋体"/>
          <w:szCs w:val="21"/>
          <w:highlight w:val="none"/>
        </w:rPr>
      </w:pPr>
      <w:r>
        <w:rPr>
          <w:sz w:val="24"/>
          <w:highlight w:val="none"/>
        </w:rPr>
        <w:t xml:space="preserve">付款比例： </w:t>
      </w:r>
      <w:r>
        <w:rPr>
          <w:rFonts w:hint="eastAsia" w:ascii="宋体" w:hAnsi="宋体"/>
          <w:szCs w:val="21"/>
          <w:highlight w:val="none"/>
        </w:rPr>
        <w:t xml:space="preserve">本工程按 </w:t>
      </w:r>
      <w:r>
        <w:rPr>
          <w:rFonts w:hint="eastAsia" w:ascii="宋体" w:hAnsi="宋体"/>
          <w:szCs w:val="21"/>
          <w:highlight w:val="none"/>
          <w:u w:val="single"/>
        </w:rPr>
        <w:t xml:space="preserve"> 每季度 </w:t>
      </w:r>
      <w:r>
        <w:rPr>
          <w:rFonts w:hint="eastAsia" w:ascii="宋体" w:hAnsi="宋体"/>
          <w:szCs w:val="21"/>
          <w:highlight w:val="none"/>
        </w:rPr>
        <w:t xml:space="preserve">支付工程款，支付比例 </w:t>
      </w:r>
      <w:r>
        <w:rPr>
          <w:rFonts w:hint="eastAsia" w:ascii="宋体" w:hAnsi="宋体"/>
          <w:szCs w:val="21"/>
          <w:highlight w:val="none"/>
          <w:u w:val="single"/>
        </w:rPr>
        <w:t xml:space="preserve"> 70 </w:t>
      </w:r>
      <w:r>
        <w:rPr>
          <w:rFonts w:hint="eastAsia" w:ascii="宋体" w:hAnsi="宋体"/>
          <w:szCs w:val="21"/>
          <w:highlight w:val="none"/>
        </w:rPr>
        <w:t>%。</w:t>
      </w:r>
      <w:r>
        <w:rPr>
          <w:rFonts w:hint="eastAsia"/>
          <w:szCs w:val="21"/>
          <w:highlight w:val="none"/>
          <w:lang w:eastAsia="zh-CN"/>
        </w:rPr>
        <w:t>，</w:t>
      </w:r>
      <w:r>
        <w:rPr>
          <w:rFonts w:hint="eastAsia" w:ascii="宋体" w:hAnsi="宋体"/>
          <w:szCs w:val="21"/>
          <w:highlight w:val="none"/>
        </w:rPr>
        <w:t xml:space="preserve">本分包工程完工验收合格后付至甲方已确认工程量的 </w:t>
      </w:r>
      <w:r>
        <w:rPr>
          <w:rFonts w:hint="eastAsia" w:ascii="宋体" w:hAnsi="宋体"/>
          <w:szCs w:val="21"/>
          <w:highlight w:val="none"/>
          <w:u w:val="single"/>
        </w:rPr>
        <w:t xml:space="preserve"> 80 </w:t>
      </w:r>
      <w:r>
        <w:rPr>
          <w:rFonts w:hint="eastAsia" w:ascii="宋体" w:hAnsi="宋体"/>
          <w:szCs w:val="21"/>
          <w:highlight w:val="none"/>
        </w:rPr>
        <w:t>%。整体工程（即甲方作为总承包单位所对应的工程，下同）全部完成并通过竣工验收合格，且总包结算办理完毕后六个月付至95%，剩余5%作为工程保修金。结算完成后，乙方应提供结算值100%的发票，否则甲方可拒绝付款。</w:t>
      </w:r>
    </w:p>
    <w:p>
      <w:pPr>
        <w:pStyle w:val="9"/>
        <w:numPr>
          <w:ilvl w:val="1"/>
          <w:numId w:val="3"/>
        </w:numPr>
        <w:tabs>
          <w:tab w:val="left" w:pos="541"/>
        </w:tabs>
        <w:spacing w:before="75" w:after="0" w:line="240" w:lineRule="auto"/>
        <w:ind w:left="540" w:right="0" w:hanging="421"/>
        <w:jc w:val="left"/>
        <w:rPr>
          <w:rFonts w:ascii="宋体" w:hAnsi="宋体"/>
          <w:szCs w:val="21"/>
          <w:highlight w:val="none"/>
        </w:rPr>
      </w:pPr>
      <w:r>
        <w:rPr>
          <w:sz w:val="24"/>
          <w:highlight w:val="none"/>
        </w:rPr>
        <w:t xml:space="preserve">付款方式： </w:t>
      </w:r>
      <w:bookmarkStart w:id="0" w:name="_Hlk19002160"/>
      <w:r>
        <w:rPr>
          <w:rFonts w:hint="eastAsia" w:ascii="宋体" w:hAnsi="宋体"/>
          <w:szCs w:val="21"/>
          <w:highlight w:val="none"/>
        </w:rPr>
        <w:t>采取</w:t>
      </w:r>
      <w:r>
        <w:rPr>
          <w:rFonts w:hint="eastAsia"/>
          <w:highlight w:val="none"/>
        </w:rPr>
        <w:t>网上银行转账、银行承兑汇票、商业承兑汇票、供应链融资或其他合法有效的付款方式（乙方承担全部贴息费用和手续费）。</w:t>
      </w:r>
      <w:r>
        <w:rPr>
          <w:rFonts w:hint="eastAsia" w:ascii="宋体" w:hAnsi="宋体"/>
          <w:szCs w:val="21"/>
          <w:highlight w:val="none"/>
        </w:rPr>
        <w:t>乙方委托专职收款人办理收付款业务，收款人必须取得授权，填写《</w:t>
      </w:r>
      <w:r>
        <w:rPr>
          <w:rFonts w:hint="eastAsia" w:ascii="宋体" w:hAnsi="宋体"/>
          <w:bCs/>
          <w:szCs w:val="21"/>
          <w:highlight w:val="none"/>
        </w:rPr>
        <w:t>分包商、供应商、租赁费付款申请（对账）单</w:t>
      </w:r>
      <w:r>
        <w:rPr>
          <w:rFonts w:hint="eastAsia" w:ascii="宋体" w:hAnsi="宋体"/>
          <w:szCs w:val="21"/>
          <w:highlight w:val="none"/>
        </w:rPr>
        <w:t>》，如乙方收款人有变动，乙方必须出具变更证明，并报甲方财务部门备案。</w:t>
      </w:r>
    </w:p>
    <w:bookmarkEnd w:id="0"/>
    <w:p>
      <w:pPr>
        <w:pStyle w:val="2"/>
        <w:spacing w:before="91"/>
        <w:ind w:left="0" w:leftChars="0" w:firstLine="0" w:firstLineChars="0"/>
      </w:pPr>
      <w:r>
        <w:rPr>
          <w:w w:val="99"/>
        </w:rPr>
        <w:t xml:space="preserve"> </w:t>
      </w:r>
    </w:p>
    <w:p>
      <w:pPr>
        <w:spacing w:before="78"/>
        <w:ind w:left="120" w:right="0" w:firstLine="0"/>
        <w:jc w:val="left"/>
        <w:rPr>
          <w:b/>
          <w:sz w:val="24"/>
        </w:rPr>
      </w:pPr>
      <w:r>
        <w:rPr>
          <w:b/>
          <w:sz w:val="24"/>
        </w:rPr>
        <w:t>七、招标人联系人</w:t>
      </w:r>
      <w:r>
        <w:rPr>
          <w:b/>
          <w:w w:val="99"/>
          <w:sz w:val="24"/>
        </w:rPr>
        <w:t xml:space="preserve"> </w:t>
      </w:r>
    </w:p>
    <w:p>
      <w:pPr>
        <w:pStyle w:val="3"/>
        <w:spacing w:before="82"/>
      </w:pPr>
      <w:r>
        <w:t>7.1 联系人：</w:t>
      </w:r>
      <w:r>
        <w:rPr>
          <w:u w:val="single"/>
        </w:rPr>
        <w:t xml:space="preserve">商务经理 </w:t>
      </w:r>
      <w:r>
        <w:rPr>
          <w:rFonts w:hint="eastAsia"/>
          <w:u w:val="single"/>
          <w:lang w:val="en-US" w:eastAsia="zh-CN"/>
        </w:rPr>
        <w:t xml:space="preserve">原振栋 </w:t>
      </w:r>
      <w:r>
        <w:rPr>
          <w:u w:val="single"/>
        </w:rPr>
        <w:t>电话 ：</w:t>
      </w:r>
      <w:r>
        <w:rPr>
          <w:rFonts w:hint="eastAsia"/>
          <w:u w:val="single"/>
          <w:lang w:val="en-US" w:eastAsia="zh-CN"/>
        </w:rPr>
        <w:t>17664226541</w:t>
      </w:r>
      <w:r>
        <w:t xml:space="preserve"> </w:t>
      </w:r>
    </w:p>
    <w:p>
      <w:pPr>
        <w:pStyle w:val="3"/>
        <w:ind w:left="1560"/>
        <w:rPr>
          <w:rFonts w:hint="default" w:eastAsia="宋体"/>
          <w:lang w:val="en-US" w:eastAsia="zh-CN"/>
        </w:rPr>
      </w:pPr>
      <w:r>
        <w:rPr>
          <w:u w:val="single"/>
        </w:rPr>
        <w:t xml:space="preserve">合约法务部招标岗 </w:t>
      </w:r>
      <w:r>
        <w:rPr>
          <w:rFonts w:hint="eastAsia"/>
          <w:u w:val="single"/>
          <w:lang w:val="en-US" w:eastAsia="zh-CN"/>
        </w:rPr>
        <w:t xml:space="preserve">刘泉文 </w:t>
      </w:r>
      <w:r>
        <w:rPr>
          <w:u w:val="single"/>
        </w:rPr>
        <w:t>电话 ：</w:t>
      </w:r>
      <w:r>
        <w:rPr>
          <w:rFonts w:hint="eastAsia"/>
          <w:u w:val="single"/>
          <w:lang w:val="en-US" w:eastAsia="zh-CN"/>
        </w:rPr>
        <w:t>15611711234</w:t>
      </w:r>
    </w:p>
    <w:p>
      <w:pPr>
        <w:pStyle w:val="3"/>
        <w:tabs>
          <w:tab w:val="left" w:pos="8243"/>
        </w:tabs>
        <w:ind w:left="6147"/>
        <w:rPr>
          <w:rFonts w:hint="default" w:ascii="Times New Roman" w:eastAsia="宋体"/>
          <w:lang w:val="en-US" w:eastAsia="zh-CN"/>
        </w:rPr>
      </w:pPr>
      <w:bookmarkStart w:id="1" w:name="_GoBack"/>
      <w:bookmarkEnd w:id="1"/>
      <w:r>
        <w:t>时间：</w:t>
      </w:r>
      <w:r>
        <w:rPr>
          <w:rFonts w:ascii="Times New Roman" w:eastAsia="Times New Roman"/>
          <w:u w:val="single"/>
        </w:rPr>
        <w:t xml:space="preserve"> </w:t>
      </w:r>
      <w:r>
        <w:rPr>
          <w:rFonts w:hint="eastAsia" w:ascii="Times New Roman"/>
          <w:u w:val="single"/>
          <w:lang w:val="en-US" w:eastAsia="zh-CN"/>
        </w:rPr>
        <w:t>2020.6.8</w:t>
      </w:r>
    </w:p>
    <w:sectPr>
      <w:pgSz w:w="11910" w:h="16840"/>
      <w:pgMar w:top="146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ans-serif">
    <w:altName w:val="AMGDT"/>
    <w:panose1 w:val="00000000000000000000"/>
    <w:charset w:val="00"/>
    <w:family w:val="auto"/>
    <w:pitch w:val="default"/>
    <w:sig w:usb0="00000000" w:usb1="00000000" w:usb2="00000000" w:usb3="00000000" w:csb0="00040001" w:csb1="00000000"/>
  </w:font>
  <w:font w:name="AMGDT">
    <w:panose1 w:val="02000400000000000000"/>
    <w:charset w:val="00"/>
    <w:family w:val="auto"/>
    <w:pitch w:val="default"/>
    <w:sig w:usb0="80000003" w:usb1="1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361" w:hanging="241"/>
        <w:jc w:val="left"/>
      </w:pPr>
      <w:rPr>
        <w:rFonts w:hint="default" w:ascii="宋体" w:hAnsi="宋体" w:eastAsia="宋体" w:cs="宋体"/>
        <w:spacing w:val="-1"/>
        <w:w w:val="100"/>
        <w:sz w:val="22"/>
        <w:szCs w:val="22"/>
        <w:lang w:val="zh-CN" w:eastAsia="zh-CN" w:bidi="zh-CN"/>
      </w:rPr>
    </w:lvl>
    <w:lvl w:ilvl="1" w:tentative="0">
      <w:start w:val="1"/>
      <w:numFmt w:val="decimal"/>
      <w:lvlText w:val="%1.%2."/>
      <w:lvlJc w:val="left"/>
      <w:pPr>
        <w:ind w:left="601" w:hanging="481"/>
        <w:jc w:val="lef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1496" w:hanging="481"/>
      </w:pPr>
      <w:rPr>
        <w:rFonts w:hint="default"/>
        <w:lang w:val="zh-CN" w:eastAsia="zh-CN" w:bidi="zh-CN"/>
      </w:rPr>
    </w:lvl>
    <w:lvl w:ilvl="3" w:tentative="0">
      <w:start w:val="0"/>
      <w:numFmt w:val="bullet"/>
      <w:lvlText w:val="•"/>
      <w:lvlJc w:val="left"/>
      <w:pPr>
        <w:ind w:left="2392" w:hanging="481"/>
      </w:pPr>
      <w:rPr>
        <w:rFonts w:hint="default"/>
        <w:lang w:val="zh-CN" w:eastAsia="zh-CN" w:bidi="zh-CN"/>
      </w:rPr>
    </w:lvl>
    <w:lvl w:ilvl="4" w:tentative="0">
      <w:start w:val="0"/>
      <w:numFmt w:val="bullet"/>
      <w:lvlText w:val="•"/>
      <w:lvlJc w:val="left"/>
      <w:pPr>
        <w:ind w:left="3288" w:hanging="481"/>
      </w:pPr>
      <w:rPr>
        <w:rFonts w:hint="default"/>
        <w:lang w:val="zh-CN" w:eastAsia="zh-CN" w:bidi="zh-CN"/>
      </w:rPr>
    </w:lvl>
    <w:lvl w:ilvl="5" w:tentative="0">
      <w:start w:val="0"/>
      <w:numFmt w:val="bullet"/>
      <w:lvlText w:val="•"/>
      <w:lvlJc w:val="left"/>
      <w:pPr>
        <w:ind w:left="4185" w:hanging="481"/>
      </w:pPr>
      <w:rPr>
        <w:rFonts w:hint="default"/>
        <w:lang w:val="zh-CN" w:eastAsia="zh-CN" w:bidi="zh-CN"/>
      </w:rPr>
    </w:lvl>
    <w:lvl w:ilvl="6" w:tentative="0">
      <w:start w:val="0"/>
      <w:numFmt w:val="bullet"/>
      <w:lvlText w:val="•"/>
      <w:lvlJc w:val="left"/>
      <w:pPr>
        <w:ind w:left="5081" w:hanging="481"/>
      </w:pPr>
      <w:rPr>
        <w:rFonts w:hint="default"/>
        <w:lang w:val="zh-CN" w:eastAsia="zh-CN" w:bidi="zh-CN"/>
      </w:rPr>
    </w:lvl>
    <w:lvl w:ilvl="7" w:tentative="0">
      <w:start w:val="0"/>
      <w:numFmt w:val="bullet"/>
      <w:lvlText w:val="•"/>
      <w:lvlJc w:val="left"/>
      <w:pPr>
        <w:ind w:left="5977" w:hanging="481"/>
      </w:pPr>
      <w:rPr>
        <w:rFonts w:hint="default"/>
        <w:lang w:val="zh-CN" w:eastAsia="zh-CN" w:bidi="zh-CN"/>
      </w:rPr>
    </w:lvl>
    <w:lvl w:ilvl="8" w:tentative="0">
      <w:start w:val="0"/>
      <w:numFmt w:val="bullet"/>
      <w:lvlText w:val="•"/>
      <w:lvlJc w:val="left"/>
      <w:pPr>
        <w:ind w:left="6873" w:hanging="481"/>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481" w:hanging="361"/>
        <w:jc w:val="left"/>
      </w:pPr>
      <w:rPr>
        <w:rFonts w:hint="default"/>
        <w:lang w:val="zh-CN" w:eastAsia="zh-CN" w:bidi="zh-CN"/>
      </w:rPr>
    </w:lvl>
    <w:lvl w:ilvl="1" w:tentative="0">
      <w:start w:val="1"/>
      <w:numFmt w:val="decimal"/>
      <w:lvlText w:val="%1.%2"/>
      <w:lvlJc w:val="left"/>
      <w:pPr>
        <w:ind w:left="481"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117" w:hanging="361"/>
      </w:pPr>
      <w:rPr>
        <w:rFonts w:hint="default"/>
        <w:lang w:val="zh-CN" w:eastAsia="zh-CN" w:bidi="zh-CN"/>
      </w:rPr>
    </w:lvl>
    <w:lvl w:ilvl="3" w:tentative="0">
      <w:start w:val="0"/>
      <w:numFmt w:val="bullet"/>
      <w:lvlText w:val="•"/>
      <w:lvlJc w:val="left"/>
      <w:pPr>
        <w:ind w:left="2935" w:hanging="361"/>
      </w:pPr>
      <w:rPr>
        <w:rFonts w:hint="default"/>
        <w:lang w:val="zh-CN" w:eastAsia="zh-CN" w:bidi="zh-CN"/>
      </w:rPr>
    </w:lvl>
    <w:lvl w:ilvl="4" w:tentative="0">
      <w:start w:val="0"/>
      <w:numFmt w:val="bullet"/>
      <w:lvlText w:val="•"/>
      <w:lvlJc w:val="left"/>
      <w:pPr>
        <w:ind w:left="3754" w:hanging="361"/>
      </w:pPr>
      <w:rPr>
        <w:rFonts w:hint="default"/>
        <w:lang w:val="zh-CN" w:eastAsia="zh-CN" w:bidi="zh-CN"/>
      </w:rPr>
    </w:lvl>
    <w:lvl w:ilvl="5" w:tentative="0">
      <w:start w:val="0"/>
      <w:numFmt w:val="bullet"/>
      <w:lvlText w:val="•"/>
      <w:lvlJc w:val="left"/>
      <w:pPr>
        <w:ind w:left="4573" w:hanging="361"/>
      </w:pPr>
      <w:rPr>
        <w:rFonts w:hint="default"/>
        <w:lang w:val="zh-CN" w:eastAsia="zh-CN" w:bidi="zh-CN"/>
      </w:rPr>
    </w:lvl>
    <w:lvl w:ilvl="6" w:tentative="0">
      <w:start w:val="0"/>
      <w:numFmt w:val="bullet"/>
      <w:lvlText w:val="•"/>
      <w:lvlJc w:val="left"/>
      <w:pPr>
        <w:ind w:left="5391" w:hanging="361"/>
      </w:pPr>
      <w:rPr>
        <w:rFonts w:hint="default"/>
        <w:lang w:val="zh-CN" w:eastAsia="zh-CN" w:bidi="zh-CN"/>
      </w:rPr>
    </w:lvl>
    <w:lvl w:ilvl="7" w:tentative="0">
      <w:start w:val="0"/>
      <w:numFmt w:val="bullet"/>
      <w:lvlText w:val="•"/>
      <w:lvlJc w:val="left"/>
      <w:pPr>
        <w:ind w:left="6210" w:hanging="361"/>
      </w:pPr>
      <w:rPr>
        <w:rFonts w:hint="default"/>
        <w:lang w:val="zh-CN" w:eastAsia="zh-CN" w:bidi="zh-CN"/>
      </w:rPr>
    </w:lvl>
    <w:lvl w:ilvl="8" w:tentative="0">
      <w:start w:val="0"/>
      <w:numFmt w:val="bullet"/>
      <w:lvlText w:val="•"/>
      <w:lvlJc w:val="left"/>
      <w:pPr>
        <w:ind w:left="7029" w:hanging="361"/>
      </w:pPr>
      <w:rPr>
        <w:rFonts w:hint="default"/>
        <w:lang w:val="zh-CN" w:eastAsia="zh-CN" w:bidi="zh-CN"/>
      </w:rPr>
    </w:lvl>
  </w:abstractNum>
  <w:abstractNum w:abstractNumId="2">
    <w:nsid w:val="59ADCABA"/>
    <w:multiLevelType w:val="multilevel"/>
    <w:tmpl w:val="59ADCABA"/>
    <w:lvl w:ilvl="0" w:tentative="0">
      <w:start w:val="6"/>
      <w:numFmt w:val="decimal"/>
      <w:lvlText w:val="%1"/>
      <w:lvlJc w:val="left"/>
      <w:pPr>
        <w:ind w:left="540" w:hanging="420"/>
        <w:jc w:val="left"/>
      </w:pPr>
      <w:rPr>
        <w:rFonts w:hint="default"/>
        <w:lang w:val="zh-CN" w:eastAsia="zh-CN" w:bidi="zh-CN"/>
      </w:rPr>
    </w:lvl>
    <w:lvl w:ilvl="1" w:tentative="0">
      <w:start w:val="1"/>
      <w:numFmt w:val="decimal"/>
      <w:lvlText w:val="%1.%2"/>
      <w:lvlJc w:val="left"/>
      <w:pPr>
        <w:ind w:left="54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65" w:hanging="420"/>
      </w:pPr>
      <w:rPr>
        <w:rFonts w:hint="default"/>
        <w:lang w:val="zh-CN" w:eastAsia="zh-CN" w:bidi="zh-CN"/>
      </w:rPr>
    </w:lvl>
    <w:lvl w:ilvl="3" w:tentative="0">
      <w:start w:val="0"/>
      <w:numFmt w:val="bullet"/>
      <w:lvlText w:val="•"/>
      <w:lvlJc w:val="left"/>
      <w:pPr>
        <w:ind w:left="2977" w:hanging="420"/>
      </w:pPr>
      <w:rPr>
        <w:rFonts w:hint="default"/>
        <w:lang w:val="zh-CN" w:eastAsia="zh-CN" w:bidi="zh-CN"/>
      </w:rPr>
    </w:lvl>
    <w:lvl w:ilvl="4" w:tentative="0">
      <w:start w:val="0"/>
      <w:numFmt w:val="bullet"/>
      <w:lvlText w:val="•"/>
      <w:lvlJc w:val="left"/>
      <w:pPr>
        <w:ind w:left="3790" w:hanging="420"/>
      </w:pPr>
      <w:rPr>
        <w:rFonts w:hint="default"/>
        <w:lang w:val="zh-CN" w:eastAsia="zh-CN" w:bidi="zh-CN"/>
      </w:rPr>
    </w:lvl>
    <w:lvl w:ilvl="5" w:tentative="0">
      <w:start w:val="0"/>
      <w:numFmt w:val="bullet"/>
      <w:lvlText w:val="•"/>
      <w:lvlJc w:val="left"/>
      <w:pPr>
        <w:ind w:left="4603" w:hanging="420"/>
      </w:pPr>
      <w:rPr>
        <w:rFonts w:hint="default"/>
        <w:lang w:val="zh-CN" w:eastAsia="zh-CN" w:bidi="zh-CN"/>
      </w:rPr>
    </w:lvl>
    <w:lvl w:ilvl="6" w:tentative="0">
      <w:start w:val="0"/>
      <w:numFmt w:val="bullet"/>
      <w:lvlText w:val="•"/>
      <w:lvlJc w:val="left"/>
      <w:pPr>
        <w:ind w:left="5415" w:hanging="420"/>
      </w:pPr>
      <w:rPr>
        <w:rFonts w:hint="default"/>
        <w:lang w:val="zh-CN" w:eastAsia="zh-CN" w:bidi="zh-CN"/>
      </w:rPr>
    </w:lvl>
    <w:lvl w:ilvl="7" w:tentative="0">
      <w:start w:val="0"/>
      <w:numFmt w:val="bullet"/>
      <w:lvlText w:val="•"/>
      <w:lvlJc w:val="left"/>
      <w:pPr>
        <w:ind w:left="6228" w:hanging="420"/>
      </w:pPr>
      <w:rPr>
        <w:rFonts w:hint="default"/>
        <w:lang w:val="zh-CN" w:eastAsia="zh-CN" w:bidi="zh-CN"/>
      </w:rPr>
    </w:lvl>
    <w:lvl w:ilvl="8" w:tentative="0">
      <w:start w:val="0"/>
      <w:numFmt w:val="bullet"/>
      <w:lvlText w:val="•"/>
      <w:lvlJc w:val="left"/>
      <w:pPr>
        <w:ind w:left="7041" w:hanging="420"/>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0D1A39"/>
    <w:rsid w:val="5D972B67"/>
    <w:rsid w:val="704326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4"/>
      <w:szCs w:val="24"/>
      <w:lang w:val="zh-CN" w:eastAsia="zh-CN" w:bidi="zh-CN"/>
    </w:rPr>
  </w:style>
  <w:style w:type="character" w:default="1" w:styleId="7">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79"/>
      <w:ind w:left="120"/>
    </w:pPr>
    <w:rPr>
      <w:rFonts w:ascii="宋体" w:hAnsi="宋体" w:eastAsia="宋体" w:cs="宋体"/>
      <w:sz w:val="24"/>
      <w:szCs w:val="24"/>
      <w:lang w:val="zh-CN" w:eastAsia="zh-CN" w:bidi="zh-CN"/>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481" w:hanging="362"/>
    </w:pPr>
    <w:rPr>
      <w:rFonts w:ascii="宋体" w:hAnsi="宋体" w:eastAsia="宋体" w:cs="宋体"/>
      <w:lang w:val="zh-CN" w:eastAsia="zh-CN" w:bidi="zh-CN"/>
    </w:rPr>
  </w:style>
  <w:style w:type="paragraph" w:customStyle="1" w:styleId="10">
    <w:name w:val="Table Paragraph"/>
    <w:basedOn w:val="1"/>
    <w:qFormat/>
    <w:uiPriority w:val="1"/>
    <w:rPr>
      <w:lang w:val="zh-CN" w:eastAsia="zh-CN" w:bidi="zh-CN"/>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2020-06-04T01:46:00Z</dcterms:created>
  <dc:creator>yang zhichao</dc:creator>
  <cp:lastModifiedBy>原振栋</cp:lastModifiedBy>
  <dcterms:modified xsi:type="dcterms:W3CDTF">2020-06-08T07:01:15Z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2010</vt:lpwstr>
  </property>
  <property fmtid="{D5CDD505-2E9C-101B-9397-08002B2CF9AE}" pid="4" name="LastSaved">
    <vt:filetime>2020-06-04T00:00:00Z</vt:filetime>
  </property>
  <property fmtid="{D5CDD505-2E9C-101B-9397-08002B2CF9AE}" pid="5" name="KSOProductBuildVer">
    <vt:lpwstr>2052-11.1.0.9748</vt:lpwstr>
  </property>
</Properties>
</file>