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Theme="minorHAnsi" w:hAnsiTheme="minorHAnsi" w:eastAsiaTheme="minorEastAsia" w:cstheme="minorBidi"/>
          <w:b/>
          <w:sz w:val="56"/>
          <w:szCs w:val="52"/>
          <w:lang w:val="en-US" w:eastAsia="zh-CN"/>
        </w:rPr>
      </w:pPr>
    </w:p>
    <w:p>
      <w:pPr>
        <w:widowControl/>
        <w:adjustRightInd w:val="0"/>
        <w:snapToGrid w:val="0"/>
        <w:spacing w:line="360" w:lineRule="auto"/>
        <w:jc w:val="center"/>
        <w:rPr>
          <w:rFonts w:hint="eastAsia" w:asciiTheme="minorHAnsi" w:hAnsiTheme="minorHAnsi" w:eastAsiaTheme="minorEastAsia" w:cstheme="minorBidi"/>
          <w:b/>
          <w:sz w:val="56"/>
          <w:szCs w:val="52"/>
          <w:lang w:val="en-US" w:eastAsia="zh-CN"/>
        </w:rPr>
      </w:pPr>
      <w:r>
        <w:rPr>
          <w:rFonts w:hint="eastAsia" w:asciiTheme="minorHAnsi" w:hAnsiTheme="minorHAnsi" w:eastAsiaTheme="minorEastAsia" w:cstheme="minorBidi"/>
          <w:b/>
          <w:sz w:val="56"/>
          <w:szCs w:val="52"/>
          <w:lang w:val="en-US" w:eastAsia="zh-CN"/>
        </w:rPr>
        <w:t>碧桂映象北城一期项目总承包工程</w:t>
      </w:r>
    </w:p>
    <w:p>
      <w:pPr>
        <w:widowControl/>
        <w:adjustRightInd w:val="0"/>
        <w:snapToGrid w:val="0"/>
        <w:spacing w:line="360" w:lineRule="auto"/>
        <w:jc w:val="center"/>
        <w:rPr>
          <w:rFonts w:hint="eastAsia" w:ascii="华文细黑" w:hAnsi="华文细黑" w:eastAsia="华文细黑" w:cstheme="minorBidi"/>
          <w:b/>
          <w:sz w:val="48"/>
          <w:lang w:eastAsia="zh-CN"/>
        </w:rPr>
      </w:pPr>
      <w:r>
        <w:rPr>
          <w:rFonts w:hint="eastAsia" w:ascii="华文细黑" w:hAnsi="华文细黑" w:eastAsia="华文细黑" w:cstheme="minorBidi"/>
          <w:b/>
          <w:sz w:val="48"/>
          <w:lang w:eastAsia="zh-CN"/>
        </w:rPr>
        <w:t>电线电缆采购招标文件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rPr>
          <w:rFonts w:hint="eastAsia" w:ascii="宋体" w:hAnsi="宋体" w:cs="宋体"/>
          <w:sz w:val="36"/>
          <w:szCs w:val="36"/>
        </w:rPr>
      </w:pPr>
      <w:r>
        <w:rPr>
          <w:rFonts w:hint="eastAsia" w:ascii="宋体" w:hAnsi="宋体" w:cs="宋体"/>
          <w:sz w:val="36"/>
          <w:szCs w:val="36"/>
        </w:rPr>
        <w:t>（编号：CSCEC2B-XN-</w:t>
      </w:r>
      <w:r>
        <w:rPr>
          <w:rFonts w:hint="eastAsia" w:ascii="宋体" w:hAnsi="宋体" w:cs="宋体" w:eastAsiaTheme="minorEastAsia"/>
          <w:sz w:val="36"/>
          <w:szCs w:val="36"/>
          <w:lang w:val="en-US" w:eastAsia="zh-CN"/>
        </w:rPr>
        <w:t>BGYXBCYQ</w:t>
      </w:r>
      <w:r>
        <w:rPr>
          <w:rFonts w:hint="eastAsia" w:ascii="宋体" w:hAnsi="宋体" w:cs="宋体"/>
          <w:sz w:val="36"/>
          <w:szCs w:val="36"/>
        </w:rPr>
        <w:t>-ZB-</w:t>
      </w:r>
      <w:r>
        <w:rPr>
          <w:rFonts w:hint="eastAsia" w:ascii="宋体" w:hAnsi="宋体" w:cs="宋体"/>
          <w:sz w:val="36"/>
          <w:szCs w:val="36"/>
          <w:lang w:val="en-US" w:eastAsia="zh-CN"/>
        </w:rPr>
        <w:t>004</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中国建筑第二工程局有限公司</w:t>
      </w: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年   月    日</w:t>
      </w:r>
    </w:p>
    <w:p>
      <w:pPr>
        <w:tabs>
          <w:tab w:val="left" w:pos="180"/>
        </w:tabs>
        <w:jc w:val="both"/>
        <w:rPr>
          <w:b/>
          <w:sz w:val="36"/>
        </w:rPr>
      </w:pPr>
    </w:p>
    <w:p>
      <w:pPr>
        <w:spacing w:line="360" w:lineRule="auto"/>
        <w:jc w:val="center"/>
        <w:rPr>
          <w:rFonts w:hint="eastAsia" w:ascii="华文细黑" w:hAnsi="华文细黑" w:eastAsia="华文细黑"/>
          <w:b/>
          <w:snapToGrid w:val="0"/>
          <w:kern w:val="0"/>
          <w:sz w:val="30"/>
          <w:szCs w:val="30"/>
        </w:rPr>
        <w:sectPr>
          <w:headerReference r:id="rId3" w:type="default"/>
          <w:pgSz w:w="11906" w:h="16838"/>
          <w:pgMar w:top="1440" w:right="1417" w:bottom="1440" w:left="1417" w:header="851" w:footer="992" w:gutter="0"/>
          <w:pgNumType w:fmt="decimal" w:start="1"/>
          <w:cols w:space="0" w:num="1"/>
          <w:rtlGutter w:val="0"/>
          <w:docGrid w:type="lines" w:linePitch="312" w:charSpace="0"/>
        </w:sectPr>
      </w:pPr>
    </w:p>
    <w:p>
      <w:pPr>
        <w:spacing w:line="360" w:lineRule="auto"/>
        <w:jc w:val="center"/>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b/>
          <w:caps/>
          <w:snapToGrid w:val="0"/>
          <w:kern w:val="0"/>
          <w:sz w:val="24"/>
        </w:rPr>
      </w:pPr>
      <w:bookmarkStart w:id="0" w:name="OLE_LINK1"/>
      <w:r>
        <w:rPr>
          <w:rFonts w:hint="eastAsia" w:ascii="华文细黑" w:hAnsi="华文细黑" w:eastAsia="华文细黑"/>
          <w:b/>
          <w:caps/>
          <w:snapToGrid w:val="0"/>
          <w:kern w:val="0"/>
          <w:sz w:val="24"/>
        </w:rPr>
        <w:t>1、工程概况：</w:t>
      </w:r>
    </w:p>
    <w:p>
      <w:pPr>
        <w:widowControl/>
        <w:snapToGrid w:val="0"/>
        <w:spacing w:before="120" w:after="120" w:line="440" w:lineRule="exact"/>
        <w:rPr>
          <w:rFonts w:hint="eastAsia" w:ascii="华文细黑" w:hAnsi="华文细黑" w:eastAsia="华文细黑" w:cstheme="minorBidi"/>
          <w:b w:val="0"/>
          <w:bCs/>
          <w:caps/>
          <w:snapToGrid w:val="0"/>
          <w:kern w:val="0"/>
          <w:sz w:val="24"/>
        </w:rPr>
      </w:pPr>
      <w:r>
        <w:rPr>
          <w:rFonts w:hint="eastAsia" w:ascii="华文细黑" w:hAnsi="华文细黑" w:eastAsia="华文细黑" w:cstheme="minorBidi"/>
          <w:b w:val="0"/>
          <w:bCs/>
          <w:caps/>
          <w:snapToGrid w:val="0"/>
          <w:kern w:val="0"/>
          <w:sz w:val="24"/>
        </w:rPr>
        <w:t>1.1项目名称：</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细黑" w:hAnsi="华文细黑" w:eastAsia="华文细黑" w:cstheme="minorBidi"/>
          <w:b w:val="0"/>
          <w:bCs/>
          <w:caps/>
          <w:snapToGrid w:val="0"/>
          <w:kern w:val="0"/>
          <w:sz w:val="24"/>
        </w:rPr>
      </w:pPr>
      <w:r>
        <w:rPr>
          <w:rFonts w:hint="eastAsia" w:ascii="华文细黑" w:hAnsi="华文细黑" w:eastAsia="华文细黑" w:cstheme="minorBidi"/>
          <w:b w:val="0"/>
          <w:bCs/>
          <w:caps/>
          <w:snapToGrid w:val="0"/>
          <w:kern w:val="0"/>
          <w:sz w:val="24"/>
        </w:rPr>
        <w:t>1.2项目地址：</w:t>
      </w:r>
      <w:r>
        <w:rPr>
          <w:rFonts w:hint="eastAsia" w:ascii="华文细黑" w:hAnsi="华文细黑" w:eastAsia="华文细黑" w:cs="Times New Roman"/>
          <w:b w:val="0"/>
          <w:bCs/>
          <w:caps/>
          <w:snapToGrid w:val="0"/>
          <w:kern w:val="0"/>
          <w:sz w:val="24"/>
          <w:highlight w:val="yellow"/>
          <w:u w:val="single"/>
          <w:lang w:val="en-US" w:eastAsia="zh-CN"/>
        </w:rPr>
        <w:t>云南省昆明市盘龙区铂金大道与花城中路交叉口。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华文细黑" w:hAnsi="华文细黑" w:eastAsia="华文细黑" w:cstheme="minorBidi"/>
          <w:b w:val="0"/>
          <w:bCs/>
          <w:caps/>
          <w:snapToGrid w:val="0"/>
          <w:kern w:val="0"/>
          <w:sz w:val="24"/>
          <w:lang w:val="en-US" w:eastAsia="zh-CN"/>
        </w:rPr>
      </w:pPr>
      <w:r>
        <w:rPr>
          <w:rFonts w:hint="eastAsia" w:ascii="华文细黑" w:hAnsi="华文细黑" w:eastAsia="华文细黑" w:cstheme="minorBidi"/>
          <w:b w:val="0"/>
          <w:bCs/>
          <w:caps/>
          <w:snapToGrid w:val="0"/>
          <w:kern w:val="0"/>
          <w:sz w:val="24"/>
        </w:rPr>
        <w:t>1.3项目规模：</w:t>
      </w:r>
      <w:r>
        <w:rPr>
          <w:rFonts w:hint="eastAsia" w:ascii="华文细黑" w:hAnsi="华文细黑" w:eastAsia="华文细黑" w:cs="华文细黑"/>
          <w:sz w:val="24"/>
          <w:highlight w:val="yellow"/>
          <w:u w:val="single"/>
          <w:lang w:val="en-US" w:eastAsia="zh-CN"/>
        </w:rPr>
        <w:t>施工承包范围为碧桂映象北城一期项目2#地块，该地块占地47.2亩，建筑面积25.56万㎡，楼栋共7栋，其中1#楼、3#楼、4#楼、5#楼为44层高层住宅，2#楼为社区配套用房，局部3层，6#楼为4层商业用房，7#楼为15层办公楼；结构为框剪结构。</w:t>
      </w:r>
      <w:r>
        <w:rPr>
          <w:rFonts w:hint="eastAsia" w:ascii="华文细黑" w:hAnsi="华文细黑" w:eastAsia="华文细黑" w:cstheme="minorBidi"/>
          <w:b w:val="0"/>
          <w:bCs/>
          <w:caps/>
          <w:snapToGrid w:val="0"/>
          <w:kern w:val="0"/>
          <w:sz w:val="24"/>
          <w:lang w:val="en-US" w:eastAsia="zh-CN"/>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theme="minorBidi"/>
          <w:b w:val="0"/>
          <w:bCs/>
          <w:caps/>
          <w:snapToGrid w:val="0"/>
          <w:kern w:val="0"/>
          <w:sz w:val="24"/>
        </w:rPr>
        <w:t>1.4建设单位：</w:t>
      </w:r>
      <w:r>
        <w:rPr>
          <w:rFonts w:hint="eastAsia" w:ascii="华文细黑" w:hAnsi="华文细黑" w:eastAsia="华文细黑" w:cs="华文细黑"/>
          <w:sz w:val="24"/>
          <w:highlight w:val="yellow"/>
          <w:u w:val="single"/>
          <w:lang w:val="en-US" w:eastAsia="zh-CN"/>
        </w:rPr>
        <w:t>云南碧宇房地产开发</w:t>
      </w:r>
      <w:r>
        <w:rPr>
          <w:rFonts w:hint="eastAsia" w:ascii="华文细黑" w:hAnsi="华文细黑" w:eastAsia="华文细黑" w:cs="华文细黑"/>
          <w:sz w:val="24"/>
          <w:highlight w:val="yellow"/>
          <w:u w:val="single"/>
        </w:rPr>
        <w:t xml:space="preserve">有限公司  </w:t>
      </w:r>
      <w:r>
        <w:rPr>
          <w:rFonts w:hint="eastAsia" w:ascii="华文细黑" w:hAnsi="华文细黑" w:eastAsia="华文细黑" w:cs="华文细黑"/>
          <w:sz w:val="24"/>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1.5招标人：中国建筑第二工程局有限公司</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1.6本次招标内容：</w:t>
      </w:r>
      <w:r>
        <w:rPr>
          <w:rFonts w:hint="eastAsia" w:ascii="华文细黑" w:hAnsi="华文细黑" w:eastAsia="华文细黑" w:cs="Times New Roman"/>
          <w:b w:val="0"/>
          <w:bCs/>
          <w:caps/>
          <w:snapToGrid w:val="0"/>
          <w:kern w:val="0"/>
          <w:sz w:val="24"/>
          <w:lang w:val="en-US" w:eastAsia="zh-CN"/>
        </w:rPr>
        <w:t>碧桂映象北城一期项目总承包工程</w:t>
      </w:r>
      <w:r>
        <w:rPr>
          <w:rFonts w:hint="eastAsia" w:ascii="华文细黑" w:hAnsi="华文细黑" w:eastAsia="华文细黑" w:cs="华文细黑"/>
          <w:sz w:val="24"/>
          <w:lang w:eastAsia="zh-CN"/>
        </w:rPr>
        <w:t>电线电缆块</w:t>
      </w:r>
      <w:r>
        <w:rPr>
          <w:rFonts w:hint="eastAsia" w:ascii="华文细黑" w:hAnsi="华文细黑" w:eastAsia="华文细黑" w:cs="华文细黑"/>
          <w:sz w:val="24"/>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本次招标仅为 </w:t>
      </w:r>
      <w:r>
        <w:rPr>
          <w:rFonts w:hint="eastAsia" w:ascii="华文细黑" w:hAnsi="华文细黑" w:eastAsia="华文细黑" w:cs="Times New Roman"/>
          <w:b w:val="0"/>
          <w:bCs/>
          <w:caps/>
          <w:snapToGrid w:val="0"/>
          <w:kern w:val="0"/>
          <w:sz w:val="24"/>
          <w:lang w:val="en-US" w:eastAsia="zh-CN"/>
        </w:rPr>
        <w:t>碧桂映象北城一期项目总承包工程</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采购，招标人有权调整招标范围，并不承担由此引起的任何费用。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3、时间安排及要求：</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w:t>
      </w:r>
      <w:r>
        <w:rPr>
          <w:rFonts w:hint="eastAsia" w:ascii="华文细黑" w:hAnsi="华文细黑" w:eastAsia="华文细黑" w:cs="华文细黑"/>
          <w:sz w:val="24"/>
          <w:highlight w:val="none"/>
        </w:rPr>
        <w:t>1.1 20</w:t>
      </w:r>
      <w:r>
        <w:rPr>
          <w:rFonts w:hint="eastAsia" w:ascii="华文细黑" w:hAnsi="华文细黑" w:eastAsia="华文细黑" w:cs="华文细黑"/>
          <w:sz w:val="24"/>
          <w:highlight w:val="non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日领取招标文件。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3.1.2 20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前，</w:t>
      </w:r>
      <w:r>
        <w:rPr>
          <w:rFonts w:hint="eastAsia" w:ascii="华文细黑" w:hAnsi="华文细黑" w:eastAsia="华文细黑" w:cs="华文细黑"/>
          <w:sz w:val="24"/>
        </w:rPr>
        <w:t>各投标人将投标中遇到的疑问书面送至</w:t>
      </w:r>
      <w:r>
        <w:rPr>
          <w:rFonts w:hint="eastAsia" w:ascii="华文细黑" w:hAnsi="华文细黑" w:eastAsia="华文细黑" w:cs="Times New Roman"/>
          <w:b w:val="0"/>
          <w:bCs/>
          <w:caps/>
          <w:snapToGrid w:val="0"/>
          <w:kern w:val="0"/>
          <w:sz w:val="24"/>
          <w:lang w:val="en-US" w:eastAsia="zh-CN"/>
        </w:rPr>
        <w:t>碧桂映象北城一期项目总承包工程</w:t>
      </w:r>
      <w:r>
        <w:rPr>
          <w:rFonts w:hint="eastAsia" w:ascii="华文细黑" w:hAnsi="华文细黑" w:eastAsia="华文细黑" w:cs="华文细黑"/>
          <w:sz w:val="24"/>
        </w:rPr>
        <w:t>，过后不补，招标人将进行统一的书面答复，招标答疑将作为本招标文件的组成部分。</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3.2投标书递交截止时间</w:t>
      </w:r>
      <w:r>
        <w:rPr>
          <w:rFonts w:hint="eastAsia" w:ascii="华文细黑" w:hAnsi="华文细黑" w:eastAsia="华文细黑" w:cs="华文细黑"/>
          <w:sz w:val="24"/>
          <w:highlight w:val="none"/>
        </w:rPr>
        <w:t>：20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rPr>
        <w:t xml:space="preserve"> </w:t>
      </w:r>
      <w:bookmarkStart w:id="5" w:name="_GoBack"/>
      <w:bookmarkEnd w:id="5"/>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时。</w:t>
      </w:r>
    </w:p>
    <w:p>
      <w:pPr>
        <w:widowControl/>
        <w:snapToGrid w:val="0"/>
        <w:spacing w:before="120" w:after="120" w:line="440" w:lineRule="exact"/>
        <w:ind w:left="480" w:hanging="480" w:hangingChars="200"/>
        <w:rPr>
          <w:rFonts w:hint="eastAsia" w:ascii="华文细黑" w:hAnsi="华文细黑" w:eastAsia="华文细黑" w:cs="华文细黑"/>
          <w:sz w:val="24"/>
          <w:u w:val="single"/>
          <w:lang w:val="en-US" w:eastAsia="zh-CN"/>
        </w:rPr>
      </w:pPr>
      <w:r>
        <w:rPr>
          <w:rFonts w:hint="eastAsia" w:ascii="华文细黑" w:hAnsi="华文细黑" w:eastAsia="华文细黑" w:cs="华文细黑"/>
          <w:sz w:val="24"/>
          <w:highlight w:val="none"/>
        </w:rPr>
        <w:t xml:space="preserve">   </w:t>
      </w:r>
      <w:r>
        <w:rPr>
          <w:rFonts w:hint="eastAsia" w:ascii="华文细黑" w:hAnsi="华文细黑" w:eastAsia="华文细黑" w:cs="华文细黑"/>
          <w:sz w:val="24"/>
        </w:rPr>
        <w:t xml:space="preserve"> 收件人：</w:t>
      </w:r>
      <w:r>
        <w:rPr>
          <w:rFonts w:hint="eastAsia" w:ascii="华文细黑" w:hAnsi="华文细黑" w:eastAsia="华文细黑" w:cs="华文细黑"/>
          <w:sz w:val="24"/>
          <w:u w:val="single"/>
          <w:lang w:eastAsia="zh-CN"/>
        </w:rPr>
        <w:t>陈宗元</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联系方式：</w:t>
      </w:r>
      <w:r>
        <w:rPr>
          <w:rFonts w:hint="eastAsia" w:ascii="华文细黑" w:hAnsi="华文细黑" w:eastAsia="华文细黑" w:cs="华文细黑"/>
          <w:sz w:val="24"/>
          <w:u w:val="single"/>
          <w:lang w:val="en-US" w:eastAsia="zh-CN"/>
        </w:rPr>
        <w:t>15085093732</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 xml:space="preserve"> 邮箱：</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u w:val="single"/>
          <w:lang w:val="en-US" w:eastAsia="zh-CN"/>
        </w:rPr>
        <w:fldChar w:fldCharType="begin"/>
      </w:r>
      <w:r>
        <w:rPr>
          <w:rFonts w:hint="eastAsia" w:ascii="华文细黑" w:hAnsi="华文细黑" w:eastAsia="华文细黑" w:cs="华文细黑"/>
          <w:sz w:val="24"/>
          <w:u w:val="single"/>
          <w:lang w:val="en-US" w:eastAsia="zh-CN"/>
        </w:rPr>
        <w:instrText xml:space="preserve"> HYPERLINK "mailto:304711513@qq.com" </w:instrText>
      </w:r>
      <w:r>
        <w:rPr>
          <w:rFonts w:hint="eastAsia" w:ascii="华文细黑" w:hAnsi="华文细黑" w:eastAsia="华文细黑" w:cs="华文细黑"/>
          <w:sz w:val="24"/>
          <w:u w:val="single"/>
          <w:lang w:val="en-US" w:eastAsia="zh-CN"/>
        </w:rPr>
        <w:fldChar w:fldCharType="separate"/>
      </w:r>
      <w:r>
        <w:rPr>
          <w:rStyle w:val="8"/>
          <w:rFonts w:hint="eastAsia" w:ascii="华文细黑" w:hAnsi="华文细黑" w:eastAsia="华文细黑" w:cs="华文细黑"/>
          <w:sz w:val="24"/>
          <w:lang w:val="en-US" w:eastAsia="zh-CN"/>
        </w:rPr>
        <w:t>304711513@qq.com</w:t>
      </w:r>
      <w:r>
        <w:rPr>
          <w:rFonts w:hint="eastAsia" w:ascii="华文细黑" w:hAnsi="华文细黑" w:eastAsia="华文细黑" w:cs="华文细黑"/>
          <w:sz w:val="24"/>
          <w:u w:val="single"/>
          <w:lang w:val="en-US" w:eastAsia="zh-CN"/>
        </w:rPr>
        <w:fldChar w:fldCharType="end"/>
      </w:r>
    </w:p>
    <w:p>
      <w:pPr>
        <w:widowControl/>
        <w:snapToGrid w:val="0"/>
        <w:spacing w:before="120" w:after="120" w:line="440" w:lineRule="exact"/>
        <w:ind w:firstLine="480" w:firstLineChars="200"/>
        <w:rPr>
          <w:rFonts w:hint="eastAsia" w:ascii="华文细黑" w:hAnsi="华文细黑" w:eastAsia="华文细黑" w:cs="华文细黑"/>
          <w:sz w:val="24"/>
          <w:u w:val="single"/>
          <w:lang w:val="en-US" w:eastAsia="zh-CN"/>
        </w:rPr>
      </w:pPr>
      <w:r>
        <w:rPr>
          <w:rFonts w:hint="eastAsia" w:ascii="华文细黑" w:hAnsi="华文细黑" w:eastAsia="华文细黑" w:cs="华文细黑"/>
          <w:sz w:val="24"/>
        </w:rPr>
        <w:t>地　点：</w:t>
      </w:r>
      <w:r>
        <w:rPr>
          <w:rFonts w:hint="eastAsia" w:ascii="华文细黑" w:hAnsi="华文细黑" w:eastAsia="华文细黑" w:cs="华文细黑"/>
          <w:sz w:val="24"/>
          <w:u w:val="single"/>
          <w:lang w:val="en-US" w:eastAsia="zh-CN"/>
        </w:rPr>
        <w:t xml:space="preserve">云南省昆明市盘龙区通源路碧桂映象北城一期项目总承包工程中建二局项目部 </w:t>
      </w:r>
      <w:r>
        <w:rPr>
          <w:rFonts w:hint="eastAsia" w:ascii="华文细黑" w:hAnsi="华文细黑" w:eastAsia="华文细黑" w:cs="华文细黑"/>
          <w:sz w:val="24"/>
          <w:u w:val="none"/>
          <w:lang w:eastAsia="zh-CN"/>
        </w:rPr>
        <w:t>。</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3.3 定标时间：定标结果在截标之日起20日内通知中标人及其所有投标人。</w:t>
      </w:r>
      <w:bookmarkEnd w:id="0"/>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9.1本次电线电缆采购采用邀请招标方式招标，综合评估法评标。评标分为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highlight w:val="yellow"/>
        </w:rPr>
        <w:t>工地指定地点）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color w:val="FF0000"/>
          <w:sz w:val="24"/>
          <w:highlight w:val="none"/>
          <w:lang w:val="en-US" w:eastAsia="zh-CN"/>
        </w:rPr>
        <w:t>（注：具体格式详见投标函）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投标人供应的电线电缆必须是检验合格产品，否则一切损失及费用由投标人承担。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经甲方进行入场检验不合格或不符合质量要求的电线电缆，甲方有权拒收或退货，所造成甲方的一切误工、窝工、延工、停工等损失概由乙方负责。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11.2.3投标人应认真履行合同，保证电线电缆质量符合国家相关技术标准，积极配合招标人，做到优质服务。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u w:val="none"/>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highlight w:val="yellow"/>
        </w:rPr>
        <w:t>工地指定地</w:t>
      </w:r>
      <w:r>
        <w:rPr>
          <w:rFonts w:hint="eastAsia" w:ascii="华文细黑" w:hAnsi="华文细黑" w:eastAsia="华文细黑" w:cs="华文细黑"/>
          <w:sz w:val="24"/>
          <w:highlight w:val="yellow"/>
          <w:u w:val="none"/>
        </w:rPr>
        <w:t>点</w:t>
      </w:r>
      <w:r>
        <w:rPr>
          <w:rFonts w:hint="eastAsia" w:ascii="华文细黑" w:hAnsi="华文细黑" w:eastAsia="华文细黑" w:cs="华文细黑"/>
          <w:sz w:val="24"/>
          <w:highlight w:val="yellow"/>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第二章 投标文件格式</w:t>
      </w:r>
    </w:p>
    <w:p>
      <w:pPr>
        <w:spacing w:line="400" w:lineRule="exact"/>
        <w:rPr>
          <w:rFonts w:hint="eastAsia" w:ascii="仿宋_GB2312" w:hAnsi="宋体" w:eastAsia="仿宋_GB2312"/>
          <w:b/>
          <w:color w:val="000000"/>
          <w:sz w:val="28"/>
          <w:szCs w:val="28"/>
        </w:rPr>
      </w:pPr>
    </w:p>
    <w:p>
      <w:pPr>
        <w:spacing w:line="360" w:lineRule="auto"/>
        <w:jc w:val="center"/>
        <w:rPr>
          <w:rFonts w:hint="eastAsia" w:ascii="华文细黑" w:hAnsi="华文细黑" w:eastAsia="华文细黑"/>
          <w:b/>
          <w:snapToGrid w:val="0"/>
          <w:kern w:val="0"/>
          <w:sz w:val="28"/>
          <w:szCs w:val="28"/>
        </w:rPr>
      </w:pPr>
      <w:bookmarkStart w:id="1" w:name="_Toc343692949"/>
      <w:bookmarkStart w:id="2" w:name="_Toc447715018"/>
      <w:bookmarkStart w:id="3" w:name="_Toc407449895"/>
      <w:r>
        <w:rPr>
          <w:rFonts w:hint="eastAsia" w:ascii="华文细黑" w:hAnsi="华文细黑" w:eastAsia="华文细黑"/>
          <w:b/>
          <w:snapToGrid w:val="0"/>
          <w:kern w:val="0"/>
          <w:sz w:val="28"/>
          <w:szCs w:val="28"/>
        </w:rPr>
        <w:t>企业基本情况表</w:t>
      </w:r>
      <w:bookmarkEnd w:id="1"/>
      <w:bookmarkEnd w:id="2"/>
      <w:bookmarkEnd w:id="3"/>
    </w:p>
    <w:tbl>
      <w:tblPr>
        <w:tblStyle w:val="5"/>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33"/>
        <w:gridCol w:w="310"/>
        <w:gridCol w:w="793"/>
        <w:gridCol w:w="510"/>
        <w:gridCol w:w="314"/>
        <w:gridCol w:w="685"/>
        <w:gridCol w:w="556"/>
        <w:gridCol w:w="61"/>
        <w:gridCol w:w="965"/>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企业名称(盖章)</w:t>
            </w:r>
          </w:p>
        </w:tc>
        <w:tc>
          <w:tcPr>
            <w:tcW w:w="4462" w:type="dxa"/>
            <w:gridSpan w:val="8"/>
            <w:vAlign w:val="center"/>
          </w:tcPr>
          <w:p>
            <w:pPr>
              <w:spacing w:line="0" w:lineRule="atLeast"/>
              <w:jc w:val="center"/>
              <w:rPr>
                <w:rFonts w:hint="eastAsia" w:ascii="仿宋_GB2312" w:hAnsi="宋体" w:eastAsia="仿宋_GB2312"/>
                <w:color w:val="000000"/>
                <w:sz w:val="24"/>
                <w:szCs w:val="24"/>
              </w:rPr>
            </w:pPr>
          </w:p>
        </w:tc>
        <w:tc>
          <w:tcPr>
            <w:tcW w:w="1083" w:type="dxa"/>
            <w:gridSpan w:val="2"/>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组织机构代码</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trPr>
        <w:tc>
          <w:tcPr>
            <w:tcW w:w="137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企业类型</w:t>
            </w:r>
          </w:p>
        </w:tc>
        <w:tc>
          <w:tcPr>
            <w:tcW w:w="4462" w:type="dxa"/>
            <w:gridSpan w:val="8"/>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□有限责任公司  □股份有限公司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□中外合资企业  □全民所有制企业</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□集体所有制企业□独资企业</w:t>
            </w:r>
          </w:p>
        </w:tc>
        <w:tc>
          <w:tcPr>
            <w:tcW w:w="108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上年度销售额</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详细地址</w:t>
            </w:r>
          </w:p>
        </w:tc>
        <w:tc>
          <w:tcPr>
            <w:tcW w:w="7149" w:type="dxa"/>
            <w:gridSpan w:val="11"/>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营业执照</w:t>
            </w: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注册号</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经营范围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注册资本</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发证时间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营业期限</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生产许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可证或经营许可证</w:t>
            </w:r>
          </w:p>
        </w:tc>
        <w:tc>
          <w:tcPr>
            <w:tcW w:w="1543" w:type="dxa"/>
            <w:gridSpan w:val="2"/>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许可证号</w:t>
            </w:r>
          </w:p>
        </w:tc>
        <w:tc>
          <w:tcPr>
            <w:tcW w:w="5606" w:type="dxa"/>
            <w:gridSpan w:val="9"/>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发证机关</w:t>
            </w:r>
          </w:p>
        </w:tc>
        <w:tc>
          <w:tcPr>
            <w:tcW w:w="5606" w:type="dxa"/>
            <w:gridSpan w:val="9"/>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被授权人情况</w:t>
            </w: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姓  名</w:t>
            </w:r>
          </w:p>
        </w:tc>
        <w:tc>
          <w:tcPr>
            <w:tcW w:w="1927" w:type="dxa"/>
            <w:gridSpan w:val="4"/>
            <w:vAlign w:val="center"/>
          </w:tcPr>
          <w:p>
            <w:pPr>
              <w:spacing w:line="0" w:lineRule="atLeast"/>
              <w:jc w:val="center"/>
              <w:rPr>
                <w:rFonts w:hint="eastAsia" w:ascii="华文细黑" w:hAnsi="华文细黑" w:eastAsia="华文细黑" w:cs="华文细黑"/>
                <w:sz w:val="24"/>
                <w:szCs w:val="24"/>
              </w:rPr>
            </w:pPr>
          </w:p>
        </w:tc>
        <w:tc>
          <w:tcPr>
            <w:tcW w:w="1302"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身份证号</w:t>
            </w:r>
          </w:p>
        </w:tc>
        <w:tc>
          <w:tcPr>
            <w:tcW w:w="2687" w:type="dxa"/>
            <w:gridSpan w:val="3"/>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w:t>
            </w:r>
          </w:p>
        </w:tc>
        <w:tc>
          <w:tcPr>
            <w:tcW w:w="1103" w:type="dxa"/>
            <w:gridSpan w:val="2"/>
            <w:vAlign w:val="center"/>
          </w:tcPr>
          <w:p>
            <w:pPr>
              <w:spacing w:line="0" w:lineRule="atLeast"/>
              <w:jc w:val="center"/>
              <w:rPr>
                <w:rFonts w:hint="eastAsia" w:ascii="华文细黑" w:hAnsi="华文细黑" w:eastAsia="华文细黑" w:cs="华文细黑"/>
                <w:sz w:val="24"/>
                <w:szCs w:val="24"/>
              </w:rPr>
            </w:pPr>
          </w:p>
          <w:p>
            <w:pPr>
              <w:spacing w:line="0" w:lineRule="atLeast"/>
              <w:jc w:val="center"/>
              <w:rPr>
                <w:rFonts w:hint="eastAsia" w:ascii="华文细黑" w:hAnsi="华文细黑" w:eastAsia="华文细黑" w:cs="华文细黑"/>
                <w:sz w:val="24"/>
                <w:szCs w:val="24"/>
              </w:rPr>
            </w:pPr>
          </w:p>
        </w:tc>
        <w:tc>
          <w:tcPr>
            <w:tcW w:w="824"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传真</w:t>
            </w:r>
          </w:p>
        </w:tc>
        <w:tc>
          <w:tcPr>
            <w:tcW w:w="1302" w:type="dxa"/>
            <w:gridSpan w:val="3"/>
            <w:vAlign w:val="center"/>
          </w:tcPr>
          <w:p>
            <w:pPr>
              <w:spacing w:line="0" w:lineRule="atLeast"/>
              <w:jc w:val="center"/>
              <w:rPr>
                <w:rFonts w:hint="eastAsia" w:ascii="华文细黑" w:hAnsi="华文细黑" w:eastAsia="华文细黑" w:cs="华文细黑"/>
                <w:sz w:val="24"/>
                <w:szCs w:val="24"/>
              </w:rPr>
            </w:pPr>
          </w:p>
        </w:tc>
        <w:tc>
          <w:tcPr>
            <w:tcW w:w="965"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手机</w:t>
            </w:r>
          </w:p>
        </w:tc>
        <w:tc>
          <w:tcPr>
            <w:tcW w:w="1722" w:type="dxa"/>
            <w:gridSpan w:val="2"/>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通讯</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w:t>
            </w:r>
          </w:p>
        </w:tc>
        <w:tc>
          <w:tcPr>
            <w:tcW w:w="5916" w:type="dxa"/>
            <w:gridSpan w:val="10"/>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1613" w:type="dxa"/>
            <w:gridSpan w:val="3"/>
            <w:vAlign w:val="center"/>
          </w:tcPr>
          <w:p>
            <w:pPr>
              <w:spacing w:line="0" w:lineRule="atLeast"/>
              <w:jc w:val="center"/>
              <w:rPr>
                <w:rFonts w:hint="eastAsia" w:ascii="华文细黑" w:hAnsi="华文细黑" w:eastAsia="华文细黑" w:cs="华文细黑"/>
                <w:sz w:val="24"/>
                <w:szCs w:val="24"/>
              </w:rPr>
            </w:pPr>
          </w:p>
        </w:tc>
        <w:tc>
          <w:tcPr>
            <w:tcW w:w="1555"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电子信箱</w:t>
            </w:r>
          </w:p>
        </w:tc>
        <w:tc>
          <w:tcPr>
            <w:tcW w:w="2748" w:type="dxa"/>
            <w:gridSpan w:val="4"/>
            <w:vAlign w:val="center"/>
          </w:tcPr>
          <w:p>
            <w:pPr>
              <w:spacing w:line="0" w:lineRule="atLeast"/>
              <w:jc w:val="center"/>
              <w:rPr>
                <w:rFonts w:hint="eastAsia" w:ascii="华文细黑" w:hAnsi="华文细黑" w:eastAsia="华文细黑" w:cs="华文细黑"/>
                <w:sz w:val="24"/>
                <w:szCs w:val="24"/>
              </w:rPr>
            </w:pPr>
          </w:p>
        </w:tc>
      </w:tr>
    </w:tbl>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r>
        <w:rPr>
          <w:rFonts w:hint="eastAsia" w:ascii="华文细黑" w:hAnsi="华文细黑" w:eastAsia="华文细黑" w:cs="华文细黑"/>
          <w:sz w:val="24"/>
          <w:szCs w:val="24"/>
        </w:rPr>
        <w:t>注</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1、本表作为投标文件的重要部分，务必认真填写，不得涂改。</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2、投标人应保证本表所填内容真实有效，如与事实有出入，则视为无效投标。</w:t>
      </w:r>
    </w:p>
    <w:p>
      <w:pPr>
        <w:spacing w:line="480" w:lineRule="auto"/>
        <w:rPr>
          <w:rFonts w:hint="eastAsia" w:ascii="仿宋_GB2312" w:hAnsi="宋体" w:eastAsia="仿宋_GB2312"/>
          <w:b/>
          <w:bCs/>
          <w:color w:val="000000"/>
          <w:sz w:val="32"/>
          <w:szCs w:val="32"/>
        </w:rPr>
      </w:pPr>
    </w:p>
    <w:p>
      <w:pPr>
        <w:rPr>
          <w:rFonts w:hint="eastAsia"/>
          <w:b/>
          <w:sz w:val="32"/>
          <w:szCs w:val="32"/>
        </w:rPr>
      </w:pPr>
    </w:p>
    <w:p>
      <w:pPr>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bookmarkStart w:id="4" w:name="OLE_LINK3"/>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w:t>
      </w:r>
      <w:bookmarkEnd w:id="4"/>
      <w:r>
        <w:rPr>
          <w:rFonts w:hint="eastAsia" w:ascii="华文细黑" w:hAnsi="华文细黑" w:eastAsia="华文细黑" w:cs="华文细黑"/>
          <w:sz w:val="24"/>
          <w:szCs w:val="24"/>
        </w:rPr>
        <w:t xml:space="preserve"> 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法定代表人授权委托书</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一、本授权书声明：我</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公司的法定代表人，现授权委托</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为我单位代理人，该代理人有权在中国建筑第二工程局有限公司</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 工程的分</w:t>
      </w:r>
      <w:r>
        <w:rPr>
          <w:rFonts w:hint="eastAsia" w:ascii="华文细黑" w:hAnsi="华文细黑" w:eastAsia="华文细黑" w:cs="华文细黑"/>
          <w:sz w:val="24"/>
          <w:szCs w:val="24"/>
          <w:lang w:eastAsia="zh-CN"/>
        </w:rPr>
        <w:t>供</w:t>
      </w:r>
      <w:r>
        <w:rPr>
          <w:rFonts w:hint="eastAsia" w:ascii="华文细黑" w:hAnsi="华文细黑" w:eastAsia="华文细黑" w:cs="华文细黑"/>
          <w:sz w:val="24"/>
          <w:szCs w:val="24"/>
        </w:rPr>
        <w:t>工程实施过程中，以我单位的名义签署与本工程有关的工程及经济文件，以及在本工程实施过程中执行一切与之有关的事项，本法定代表人予以承认，且法律后果由我单位承担。</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被委托人无权转委托。</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特此委托。</w:t>
      </w:r>
    </w:p>
    <w:p>
      <w:pPr>
        <w:rPr>
          <w:rFonts w:hint="eastAsia" w:ascii="宋体" w:hAnsi="宋体"/>
          <w:sz w:val="25"/>
          <w:szCs w:val="25"/>
        </w:rPr>
      </w:pPr>
    </w:p>
    <w:p>
      <w:pPr>
        <w:ind w:firstLine="542" w:firstLineChars="226"/>
        <w:rPr>
          <w:rFonts w:ascii="宋体" w:hAnsi="宋体"/>
          <w:sz w:val="25"/>
          <w:szCs w:val="25"/>
          <w:u w:val="single"/>
        </w:rPr>
      </w:pPr>
      <w:r>
        <w:rPr>
          <w:rFonts w:hint="eastAsia" w:ascii="华文细黑" w:hAnsi="华文细黑" w:eastAsia="华文细黑" w:cs="华文细黑"/>
          <w:sz w:val="24"/>
          <w:szCs w:val="24"/>
        </w:rPr>
        <w:t>代理人：</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年龄： </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身份证号码：</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职务：</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授权单位：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（加盖单位章）</w:t>
      </w:r>
      <w:r>
        <w:rPr>
          <w:rFonts w:hint="eastAsia" w:ascii="宋体" w:hAnsi="宋体"/>
          <w:sz w:val="25"/>
          <w:szCs w:val="25"/>
        </w:rPr>
        <w:t xml:space="preserve">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法定代表人身份证号码：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授权委托日期：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日</w:t>
      </w:r>
    </w:p>
    <w:p>
      <w:pPr>
        <w:spacing w:line="500" w:lineRule="exact"/>
        <w:jc w:val="both"/>
        <w:rPr>
          <w:rFonts w:ascii="宋体" w:hAnsi="宋体"/>
          <w:b/>
          <w:sz w:val="36"/>
        </w:rPr>
      </w:pPr>
    </w:p>
    <w:p>
      <w:pPr>
        <w:spacing w:line="360" w:lineRule="auto"/>
        <w:ind w:firstLine="3902" w:firstLineChars="1300"/>
        <w:jc w:val="both"/>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360" w:lineRule="auto"/>
        <w:ind w:firstLine="3902" w:firstLineChars="1300"/>
        <w:jc w:val="both"/>
        <w:rPr>
          <w:rFonts w:hint="eastAsia" w:ascii="华文细黑" w:hAnsi="华文细黑" w:eastAsia="华文细黑"/>
          <w:b/>
          <w:snapToGrid w:val="0"/>
          <w:kern w:val="0"/>
          <w:sz w:val="30"/>
          <w:szCs w:val="30"/>
        </w:rPr>
      </w:pPr>
    </w:p>
    <w:p>
      <w:pPr>
        <w:spacing w:line="480" w:lineRule="auto"/>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华文细黑"/>
          <w:sz w:val="24"/>
          <w:highlight w:val="yellow"/>
          <w:u w:val="single"/>
          <w:lang w:eastAsia="zh-CN"/>
        </w:rPr>
        <w:t>碧桂映象北城一期</w:t>
      </w:r>
      <w:r>
        <w:rPr>
          <w:rFonts w:hint="eastAsia" w:ascii="华文细黑" w:hAnsi="华文细黑" w:eastAsia="华文细黑" w:cs="华文细黑"/>
          <w:sz w:val="24"/>
          <w:szCs w:val="24"/>
          <w:highlight w:val="yellow"/>
          <w:u w:val="single"/>
        </w:rPr>
        <w:t>项目</w:t>
      </w:r>
      <w:r>
        <w:rPr>
          <w:rFonts w:hint="eastAsia" w:ascii="华文细黑" w:hAnsi="华文细黑" w:eastAsia="华文细黑" w:cs="华文细黑"/>
          <w:sz w:val="24"/>
          <w:szCs w:val="24"/>
          <w:highlight w:val="yellow"/>
          <w:u w:val="single"/>
          <w:lang w:eastAsia="zh-CN"/>
        </w:rPr>
        <w:t>总承包工程</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5"/>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68"/>
        <w:gridCol w:w="2160"/>
        <w:gridCol w:w="758"/>
        <w:gridCol w:w="1562"/>
        <w:gridCol w:w="19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36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2160"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75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1562" w:type="dxa"/>
            <w:vAlign w:val="center"/>
          </w:tcPr>
          <w:p>
            <w:pPr>
              <w:widowControl/>
              <w:spacing w:line="360" w:lineRule="auto"/>
              <w:jc w:val="center"/>
              <w:textAlignment w:val="center"/>
              <w:rPr>
                <w:rFonts w:ascii="华文细黑" w:hAnsi="华文细黑" w:eastAsia="华文细黑" w:cs="华文细黑"/>
                <w:b/>
                <w:szCs w:val="21"/>
              </w:rPr>
            </w:pPr>
            <w:r>
              <w:rPr>
                <w:rFonts w:hint="eastAsia" w:ascii="华文细黑" w:hAnsi="华文细黑" w:eastAsia="华文细黑" w:cs="华文细黑"/>
                <w:b/>
                <w:szCs w:val="21"/>
              </w:rPr>
              <w:t>税率</w:t>
            </w:r>
          </w:p>
        </w:tc>
        <w:tc>
          <w:tcPr>
            <w:tcW w:w="1995"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不含税增值税单价（元/单位）</w:t>
            </w:r>
          </w:p>
        </w:tc>
        <w:tc>
          <w:tcPr>
            <w:tcW w:w="139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1</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YJLV-4*25+1*16</w:t>
            </w:r>
          </w:p>
        </w:tc>
        <w:tc>
          <w:tcPr>
            <w:tcW w:w="75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米</w:t>
            </w:r>
          </w:p>
        </w:tc>
        <w:tc>
          <w:tcPr>
            <w:tcW w:w="1562" w:type="dxa"/>
            <w:vAlign w:val="center"/>
          </w:tcPr>
          <w:p>
            <w:pPr>
              <w:widowControl/>
              <w:spacing w:line="360" w:lineRule="auto"/>
              <w:jc w:val="center"/>
              <w:textAlignment w:val="center"/>
              <w:rPr>
                <w:rFonts w:ascii="华文细黑" w:hAnsi="华文细黑" w:eastAsia="华文细黑" w:cs="华文细黑"/>
                <w:szCs w:val="21"/>
              </w:rPr>
            </w:pPr>
          </w:p>
        </w:tc>
        <w:tc>
          <w:tcPr>
            <w:tcW w:w="1995" w:type="dxa"/>
            <w:vAlign w:val="center"/>
          </w:tcPr>
          <w:p>
            <w:pPr>
              <w:spacing w:line="360" w:lineRule="auto"/>
              <w:jc w:val="center"/>
              <w:rPr>
                <w:rFonts w:ascii="华文细黑" w:hAnsi="华文细黑" w:eastAsia="华文细黑" w:cs="华文细黑"/>
                <w:szCs w:val="21"/>
              </w:rPr>
            </w:pPr>
          </w:p>
        </w:tc>
        <w:tc>
          <w:tcPr>
            <w:tcW w:w="1399" w:type="dxa"/>
            <w:vMerge w:val="restart"/>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2</w:t>
            </w:r>
          </w:p>
        </w:tc>
        <w:tc>
          <w:tcPr>
            <w:tcW w:w="136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YJLV-4*35+1*16</w:t>
            </w:r>
          </w:p>
        </w:tc>
        <w:tc>
          <w:tcPr>
            <w:tcW w:w="75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米</w:t>
            </w:r>
          </w:p>
        </w:tc>
        <w:tc>
          <w:tcPr>
            <w:tcW w:w="1562" w:type="dxa"/>
            <w:vAlign w:val="center"/>
          </w:tcPr>
          <w:p>
            <w:pPr>
              <w:widowControl/>
              <w:spacing w:line="360" w:lineRule="auto"/>
              <w:jc w:val="center"/>
              <w:textAlignment w:val="center"/>
              <w:rPr>
                <w:rFonts w:ascii="华文细黑" w:hAnsi="华文细黑" w:eastAsia="华文细黑" w:cs="华文细黑"/>
                <w:szCs w:val="21"/>
              </w:rPr>
            </w:pPr>
          </w:p>
        </w:tc>
        <w:tc>
          <w:tcPr>
            <w:tcW w:w="1995" w:type="dxa"/>
            <w:vAlign w:val="center"/>
          </w:tcPr>
          <w:p>
            <w:pPr>
              <w:spacing w:line="360" w:lineRule="auto"/>
              <w:jc w:val="center"/>
              <w:rPr>
                <w:rFonts w:ascii="华文细黑" w:hAnsi="华文细黑" w:eastAsia="华文细黑" w:cs="华文细黑"/>
                <w:szCs w:val="21"/>
              </w:rPr>
            </w:pPr>
          </w:p>
        </w:tc>
        <w:tc>
          <w:tcPr>
            <w:tcW w:w="1399" w:type="dxa"/>
            <w:vMerge w:val="continue"/>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华文细黑" w:hAnsi="华文细黑" w:eastAsia="华文细黑" w:cs="华文细黑"/>
                <w:szCs w:val="21"/>
                <w:lang w:eastAsia="zh-CN"/>
              </w:rPr>
            </w:pPr>
            <w:r>
              <w:rPr>
                <w:rFonts w:hint="eastAsia" w:ascii="华文细黑" w:hAnsi="华文细黑" w:eastAsia="华文细黑" w:cs="华文细黑"/>
                <w:szCs w:val="21"/>
                <w:lang w:val="en-US" w:eastAsia="zh-CN"/>
              </w:rPr>
              <w:t>3</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YJLV-4*50+1*25</w:t>
            </w:r>
          </w:p>
        </w:tc>
        <w:tc>
          <w:tcPr>
            <w:tcW w:w="75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米</w:t>
            </w:r>
          </w:p>
        </w:tc>
        <w:tc>
          <w:tcPr>
            <w:tcW w:w="1562" w:type="dxa"/>
            <w:vAlign w:val="center"/>
          </w:tcPr>
          <w:p>
            <w:pPr>
              <w:widowControl/>
              <w:spacing w:line="360" w:lineRule="auto"/>
              <w:jc w:val="center"/>
              <w:textAlignment w:val="center"/>
              <w:rPr>
                <w:rFonts w:ascii="华文细黑" w:hAnsi="华文细黑" w:eastAsia="华文细黑" w:cs="华文细黑"/>
                <w:szCs w:val="21"/>
              </w:rPr>
            </w:pPr>
          </w:p>
        </w:tc>
        <w:tc>
          <w:tcPr>
            <w:tcW w:w="1995" w:type="dxa"/>
            <w:vAlign w:val="center"/>
          </w:tcPr>
          <w:p>
            <w:pPr>
              <w:spacing w:line="360" w:lineRule="auto"/>
              <w:jc w:val="center"/>
              <w:rPr>
                <w:rFonts w:ascii="华文细黑" w:hAnsi="华文细黑" w:eastAsia="华文细黑" w:cs="华文细黑"/>
                <w:szCs w:val="21"/>
              </w:rPr>
            </w:pPr>
          </w:p>
        </w:tc>
        <w:tc>
          <w:tcPr>
            <w:tcW w:w="1399" w:type="dxa"/>
            <w:vMerge w:val="continue"/>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4</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YJLV-4*70+1*35</w:t>
            </w:r>
          </w:p>
        </w:tc>
        <w:tc>
          <w:tcPr>
            <w:tcW w:w="75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黑体" w:hAnsi="黑体" w:eastAsia="黑体" w:cs="宋体"/>
                <w:sz w:val="24"/>
                <w:lang w:eastAsia="zh-CN"/>
              </w:rPr>
            </w:pPr>
            <w:r>
              <w:rPr>
                <w:rFonts w:hint="eastAsia" w:ascii="黑体" w:hAnsi="黑体" w:eastAsia="黑体" w:cs="宋体"/>
                <w:sz w:val="24"/>
                <w:lang w:val="en-US" w:eastAsia="zh-CN"/>
              </w:rPr>
              <w:t>5</w:t>
            </w:r>
          </w:p>
        </w:tc>
        <w:tc>
          <w:tcPr>
            <w:tcW w:w="1368"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黑体" w:hAnsi="黑体" w:eastAsia="黑体" w:cs="宋体"/>
                <w:sz w:val="24"/>
                <w:lang w:val="en-US"/>
              </w:rPr>
            </w:pPr>
            <w:r>
              <w:rPr>
                <w:rFonts w:hint="eastAsia" w:ascii="华文细黑" w:hAnsi="华文细黑" w:eastAsia="华文细黑" w:cs="华文细黑"/>
                <w:szCs w:val="21"/>
                <w:lang w:val="en-US" w:eastAsia="zh-CN"/>
              </w:rPr>
              <w:t>YJLV-4*95+1*50</w:t>
            </w:r>
          </w:p>
        </w:tc>
        <w:tc>
          <w:tcPr>
            <w:tcW w:w="75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hint="eastAsia" w:ascii="黑体" w:hAnsi="黑体" w:eastAsia="黑体" w:cs="宋体"/>
                <w:sz w:val="24"/>
                <w:lang w:eastAsia="zh-CN"/>
              </w:rPr>
            </w:pPr>
            <w:r>
              <w:rPr>
                <w:rFonts w:hint="eastAsia" w:ascii="黑体" w:hAnsi="黑体" w:eastAsia="黑体" w:cs="宋体"/>
                <w:sz w:val="24"/>
                <w:lang w:val="en-US" w:eastAsia="zh-CN"/>
              </w:rPr>
              <w:t>6</w:t>
            </w:r>
          </w:p>
        </w:tc>
        <w:tc>
          <w:tcPr>
            <w:tcW w:w="1368"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黑体" w:hAnsi="黑体" w:eastAsia="黑体" w:cs="宋体"/>
                <w:sz w:val="24"/>
                <w:lang w:val="en-US"/>
              </w:rPr>
            </w:pPr>
            <w:r>
              <w:rPr>
                <w:rFonts w:hint="eastAsia" w:ascii="华文细黑" w:hAnsi="华文细黑" w:eastAsia="华文细黑" w:cs="华文细黑"/>
                <w:szCs w:val="21"/>
                <w:lang w:val="en-US" w:eastAsia="zh-CN"/>
              </w:rPr>
              <w:t>YJLV-4*120+1*70</w:t>
            </w:r>
          </w:p>
        </w:tc>
        <w:tc>
          <w:tcPr>
            <w:tcW w:w="75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7</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YJLV-4*150+1*70</w:t>
            </w:r>
          </w:p>
        </w:tc>
        <w:tc>
          <w:tcPr>
            <w:tcW w:w="75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eastAsia="zh-CN"/>
              </w:rPr>
            </w:pPr>
            <w:r>
              <w:rPr>
                <w:rFonts w:hint="eastAsia" w:ascii="黑体" w:hAnsi="黑体" w:eastAsia="黑体" w:cs="宋体"/>
                <w:sz w:val="24"/>
                <w:lang w:val="en-US" w:eastAsia="zh-CN"/>
              </w:rPr>
              <w:t>8</w:t>
            </w:r>
          </w:p>
        </w:tc>
        <w:tc>
          <w:tcPr>
            <w:tcW w:w="1368"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黑体" w:hAnsi="黑体" w:eastAsia="黑体" w:cs="宋体"/>
                <w:sz w:val="24"/>
                <w:lang w:val="en-US"/>
              </w:rPr>
            </w:pPr>
            <w:r>
              <w:rPr>
                <w:rFonts w:hint="eastAsia" w:ascii="华文细黑" w:hAnsi="华文细黑" w:eastAsia="华文细黑" w:cs="华文细黑"/>
                <w:szCs w:val="21"/>
                <w:lang w:val="en-US" w:eastAsia="zh-CN"/>
              </w:rPr>
              <w:t>YJLV-4*185+1*95</w:t>
            </w:r>
          </w:p>
        </w:tc>
        <w:tc>
          <w:tcPr>
            <w:tcW w:w="75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9</w:t>
            </w:r>
          </w:p>
        </w:tc>
        <w:tc>
          <w:tcPr>
            <w:tcW w:w="1368"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铝芯电缆</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YJLV-4*240+1*120</w:t>
            </w:r>
          </w:p>
        </w:tc>
        <w:tc>
          <w:tcPr>
            <w:tcW w:w="75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10</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铜芯线</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YJV-4*16+1*10</w:t>
            </w:r>
          </w:p>
        </w:tc>
        <w:tc>
          <w:tcPr>
            <w:tcW w:w="75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11</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铜芯线</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YJV-5*10</w:t>
            </w:r>
          </w:p>
        </w:tc>
        <w:tc>
          <w:tcPr>
            <w:tcW w:w="75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12</w:t>
            </w:r>
          </w:p>
        </w:tc>
        <w:tc>
          <w:tcPr>
            <w:tcW w:w="1368"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铜芯线</w:t>
            </w:r>
          </w:p>
        </w:tc>
        <w:tc>
          <w:tcPr>
            <w:tcW w:w="2160" w:type="dxa"/>
            <w:vAlign w:val="center"/>
          </w:tcPr>
          <w:p>
            <w:pPr>
              <w:spacing w:line="360" w:lineRule="auto"/>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YJV-5*6</w:t>
            </w:r>
          </w:p>
        </w:tc>
        <w:tc>
          <w:tcPr>
            <w:tcW w:w="758" w:type="dxa"/>
            <w:vAlign w:val="center"/>
          </w:tcPr>
          <w:p>
            <w:pPr>
              <w:spacing w:line="360" w:lineRule="auto"/>
              <w:jc w:val="center"/>
              <w:rPr>
                <w:rFonts w:hint="default" w:ascii="黑体" w:hAnsi="黑体" w:eastAsia="黑体" w:cs="宋体"/>
                <w:sz w:val="24"/>
                <w:lang w:val="en-US" w:eastAsia="zh-CN"/>
              </w:rPr>
            </w:pPr>
            <w:r>
              <w:rPr>
                <w:rFonts w:hint="eastAsia" w:ascii="黑体" w:hAnsi="黑体" w:eastAsia="黑体" w:cs="宋体"/>
                <w:sz w:val="24"/>
                <w:lang w:val="en-US" w:eastAsia="zh-CN"/>
              </w:rPr>
              <w:t>米</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Merge w:val="continue"/>
            <w:vAlign w:val="center"/>
          </w:tcPr>
          <w:p>
            <w:pPr>
              <w:spacing w:line="360" w:lineRule="auto"/>
              <w:rPr>
                <w:rFonts w:ascii="黑体" w:hAnsi="黑体" w:eastAsia="黑体" w:cs="宋体"/>
                <w:sz w:val="24"/>
              </w:rPr>
            </w:pPr>
          </w:p>
        </w:tc>
      </w:tr>
    </w:tbl>
    <w:p>
      <w:pPr>
        <w:spacing w:line="440" w:lineRule="exact"/>
        <w:jc w:val="left"/>
        <w:rPr>
          <w:rFonts w:hint="default"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华文细黑"/>
          <w:sz w:val="24"/>
          <w:highlight w:val="yellow"/>
          <w:u w:val="single"/>
          <w:lang w:eastAsia="zh-CN"/>
        </w:rPr>
        <w:t>碧桂映象北城一期项目总承包</w:t>
      </w:r>
      <w:r>
        <w:rPr>
          <w:rFonts w:hint="eastAsia" w:ascii="华文细黑" w:hAnsi="华文细黑" w:eastAsia="华文细黑" w:cs="华文细黑"/>
          <w:sz w:val="24"/>
          <w:highlight w:val="yellow"/>
          <w:lang w:val="en-US" w:eastAsia="zh-CN"/>
        </w:rPr>
        <w:t>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sz w:val="24"/>
          <w:highlight w:val="yellow"/>
          <w:lang w:val="en-US" w:eastAsia="zh-CN"/>
        </w:rPr>
        <w:t>双方均充分考虑市场风险，在合同履行期间，如因市场因素造成电线电缆价格波动超过±10% 时，双方协商调整价格。电线电缆必须采用国标线。</w:t>
      </w:r>
    </w:p>
    <w:p>
      <w:pPr>
        <w:numPr>
          <w:ilvl w:val="0"/>
          <w:numId w:val="1"/>
        </w:numPr>
        <w:spacing w:line="440" w:lineRule="exact"/>
        <w:ind w:firstLine="960" w:firstLineChars="400"/>
        <w:jc w:val="left"/>
        <w:rPr>
          <w:rFonts w:hint="eastAsia" w:ascii="华文细黑" w:hAnsi="华文细黑" w:eastAsia="华文细黑"/>
          <w:sz w:val="24"/>
        </w:rPr>
      </w:pPr>
      <w:r>
        <w:rPr>
          <w:rFonts w:hint="eastAsia" w:ascii="华文细黑" w:hAnsi="华文细黑" w:eastAsia="华文细黑"/>
          <w:sz w:val="24"/>
        </w:rPr>
        <w:t>若验收时，</w:t>
      </w:r>
      <w:r>
        <w:rPr>
          <w:rFonts w:hint="eastAsia" w:ascii="华文细黑" w:hAnsi="华文细黑" w:eastAsia="华文细黑"/>
          <w:sz w:val="24"/>
          <w:lang w:val="en-US" w:eastAsia="zh-CN"/>
        </w:rPr>
        <w:t>我单位</w:t>
      </w:r>
      <w:r>
        <w:rPr>
          <w:rFonts w:hint="eastAsia" w:ascii="华文细黑" w:hAnsi="华文细黑" w:eastAsia="华文细黑"/>
          <w:sz w:val="24"/>
        </w:rPr>
        <w:t>不组织现场验收或在现场验收时</w:t>
      </w:r>
      <w:r>
        <w:rPr>
          <w:rFonts w:hint="eastAsia" w:ascii="华文细黑" w:hAnsi="华文细黑" w:eastAsia="华文细黑"/>
          <w:sz w:val="24"/>
          <w:lang w:val="en-US" w:eastAsia="zh-CN"/>
        </w:rPr>
        <w:t>我单位</w:t>
      </w:r>
      <w:r>
        <w:rPr>
          <w:rFonts w:hint="eastAsia" w:ascii="华文细黑" w:hAnsi="华文细黑" w:eastAsia="华文细黑"/>
          <w:sz w:val="24"/>
        </w:rPr>
        <w:t>不到场且未及时通知</w:t>
      </w:r>
      <w:r>
        <w:rPr>
          <w:rFonts w:hint="eastAsia" w:ascii="华文细黑" w:hAnsi="华文细黑" w:eastAsia="华文细黑"/>
          <w:sz w:val="24"/>
          <w:lang w:val="en-US" w:eastAsia="zh-CN"/>
        </w:rPr>
        <w:t>贵单位</w:t>
      </w:r>
      <w:r>
        <w:rPr>
          <w:rFonts w:hint="eastAsia" w:ascii="华文细黑" w:hAnsi="华文细黑" w:eastAsia="华文细黑"/>
          <w:sz w:val="24"/>
        </w:rPr>
        <w:t>，</w:t>
      </w:r>
      <w:r>
        <w:rPr>
          <w:rFonts w:hint="eastAsia" w:ascii="华文细黑" w:hAnsi="华文细黑" w:eastAsia="华文细黑"/>
          <w:sz w:val="24"/>
          <w:lang w:val="en-US" w:eastAsia="zh-CN"/>
        </w:rPr>
        <w:t>贵单位</w:t>
      </w:r>
      <w:r>
        <w:rPr>
          <w:rFonts w:hint="eastAsia" w:ascii="华文细黑" w:hAnsi="华文细黑" w:eastAsia="华文细黑"/>
          <w:sz w:val="24"/>
        </w:rPr>
        <w:t>将自行组织验收，并视为</w:t>
      </w:r>
      <w:r>
        <w:rPr>
          <w:rFonts w:hint="eastAsia" w:ascii="华文细黑" w:hAnsi="华文细黑" w:eastAsia="华文细黑"/>
          <w:sz w:val="24"/>
          <w:lang w:val="en-US" w:eastAsia="zh-CN"/>
        </w:rPr>
        <w:t>我单位</w:t>
      </w:r>
      <w:r>
        <w:rPr>
          <w:rFonts w:hint="eastAsia" w:ascii="华文细黑" w:hAnsi="华文细黑" w:eastAsia="华文细黑"/>
          <w:sz w:val="24"/>
        </w:rPr>
        <w:t>认同验收结果。</w:t>
      </w:r>
    </w:p>
    <w:p>
      <w:pPr>
        <w:numPr>
          <w:ilvl w:val="0"/>
          <w:numId w:val="0"/>
        </w:numPr>
        <w:spacing w:line="440" w:lineRule="exact"/>
        <w:ind w:firstLine="960" w:firstLineChars="4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我单位</w:t>
      </w:r>
      <w:r>
        <w:rPr>
          <w:rFonts w:hint="eastAsia" w:ascii="华文细黑" w:hAnsi="华文细黑" w:eastAsia="华文细黑" w:cs="华文细黑"/>
          <w:sz w:val="24"/>
        </w:rPr>
        <w:t>理解</w:t>
      </w:r>
      <w:r>
        <w:rPr>
          <w:rFonts w:hint="eastAsia" w:ascii="华文细黑" w:hAnsi="华文细黑" w:eastAsia="华文细黑" w:cs="华文细黑"/>
          <w:sz w:val="24"/>
          <w:lang w:val="en-US" w:eastAsia="zh-CN"/>
        </w:rPr>
        <w:t>贵单位</w:t>
      </w:r>
      <w:r>
        <w:rPr>
          <w:rFonts w:hint="eastAsia" w:ascii="华文细黑" w:hAnsi="华文细黑" w:eastAsia="华文细黑" w:cs="华文细黑"/>
          <w:sz w:val="24"/>
        </w:rPr>
        <w:t>相关制度，每月20日双方根据签字确认的送货单及收货单到</w:t>
      </w:r>
      <w:r>
        <w:rPr>
          <w:rFonts w:hint="eastAsia" w:ascii="华文细黑" w:hAnsi="华文细黑" w:eastAsia="华文细黑" w:cs="华文细黑"/>
          <w:sz w:val="24"/>
          <w:lang w:val="en-US" w:eastAsia="zh-CN"/>
        </w:rPr>
        <w:t>贵单位</w:t>
      </w:r>
      <w:r>
        <w:rPr>
          <w:rFonts w:hint="eastAsia" w:ascii="华文细黑" w:hAnsi="华文细黑" w:eastAsia="华文细黑" w:cs="华文细黑"/>
          <w:sz w:val="24"/>
        </w:rPr>
        <w:t>物资部进行对账，核实供货的规格型号、时间、数量、单价、合价等信息，确认无误的对账单须由</w:t>
      </w:r>
      <w:r>
        <w:rPr>
          <w:rFonts w:hint="eastAsia" w:ascii="华文细黑" w:hAnsi="华文细黑" w:eastAsia="华文细黑" w:cs="华文细黑"/>
          <w:sz w:val="24"/>
          <w:lang w:val="en-US" w:eastAsia="zh-CN"/>
        </w:rPr>
        <w:t>我单位</w:t>
      </w:r>
      <w:r>
        <w:rPr>
          <w:rFonts w:hint="eastAsia" w:ascii="华文细黑" w:hAnsi="华文细黑" w:eastAsia="华文细黑" w:cs="华文细黑"/>
          <w:sz w:val="24"/>
        </w:rPr>
        <w:t>盖章且经</w:t>
      </w:r>
      <w:r>
        <w:rPr>
          <w:rFonts w:hint="eastAsia" w:ascii="华文细黑" w:hAnsi="华文细黑" w:eastAsia="华文细黑" w:cs="华文细黑"/>
          <w:sz w:val="24"/>
          <w:lang w:val="en-US" w:eastAsia="zh-CN"/>
        </w:rPr>
        <w:t>我单位</w:t>
      </w:r>
      <w:r>
        <w:rPr>
          <w:rFonts w:hint="eastAsia" w:ascii="华文细黑" w:hAnsi="华文细黑" w:eastAsia="华文细黑" w:cs="华文细黑"/>
          <w:sz w:val="24"/>
        </w:rPr>
        <w:t>负责人、</w:t>
      </w:r>
      <w:r>
        <w:rPr>
          <w:rFonts w:hint="eastAsia" w:ascii="华文细黑" w:hAnsi="华文细黑" w:eastAsia="华文细黑" w:cs="华文细黑"/>
          <w:sz w:val="24"/>
          <w:lang w:val="en-US" w:eastAsia="zh-CN"/>
        </w:rPr>
        <w:t>贵单位</w:t>
      </w:r>
      <w:r>
        <w:rPr>
          <w:rFonts w:hint="eastAsia" w:ascii="华文细黑" w:hAnsi="华文细黑" w:eastAsia="华文细黑" w:cs="华文细黑"/>
          <w:sz w:val="24"/>
        </w:rPr>
        <w:t>收货人和项目物资部经理、项目质量部共同签字后方可纳入结算。</w:t>
      </w:r>
    </w:p>
    <w:p>
      <w:pPr>
        <w:spacing w:line="440" w:lineRule="exact"/>
        <w:ind w:firstLine="960" w:firstLineChars="400"/>
        <w:jc w:val="left"/>
        <w:rPr>
          <w:rFonts w:hint="eastAsia" w:ascii="华文细黑" w:hAnsi="华文细黑" w:eastAsia="华文细黑" w:cs="华文细黑"/>
          <w:b/>
          <w:bCs/>
          <w:sz w:val="24"/>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w:t>
      </w:r>
      <w:r>
        <w:rPr>
          <w:rFonts w:hint="eastAsia" w:ascii="华文细黑" w:hAnsi="华文细黑" w:eastAsia="华文细黑" w:cs="华文细黑"/>
          <w:b/>
          <w:bCs/>
          <w:sz w:val="24"/>
          <w:lang w:val="en-US" w:eastAsia="zh-CN"/>
        </w:rPr>
        <w:t>贵单位</w:t>
      </w:r>
      <w:r>
        <w:rPr>
          <w:rFonts w:hint="eastAsia" w:ascii="华文细黑" w:hAnsi="华文细黑" w:eastAsia="华文细黑" w:cs="华文细黑"/>
          <w:b/>
          <w:bCs/>
          <w:sz w:val="24"/>
        </w:rPr>
        <w:t>支付</w:t>
      </w:r>
      <w:r>
        <w:rPr>
          <w:rFonts w:hint="eastAsia" w:ascii="华文细黑" w:hAnsi="华文细黑" w:eastAsia="华文细黑" w:cs="华文细黑"/>
          <w:b/>
          <w:bCs/>
          <w:sz w:val="24"/>
          <w:lang w:val="en-US" w:eastAsia="zh-CN"/>
        </w:rPr>
        <w:t>我单位</w:t>
      </w:r>
      <w:r>
        <w:rPr>
          <w:rFonts w:hint="eastAsia" w:ascii="华文细黑" w:hAnsi="华文细黑" w:eastAsia="华文细黑" w:cs="华文细黑"/>
          <w:b/>
          <w:bCs/>
          <w:sz w:val="24"/>
        </w:rPr>
        <w:t>进度款的依据，不作为双方最终结算依据。</w:t>
      </w:r>
      <w:r>
        <w:rPr>
          <w:rFonts w:hint="eastAsia" w:ascii="华文细黑" w:hAnsi="华文细黑" w:eastAsia="华文细黑" w:cs="华文细黑"/>
          <w:b/>
          <w:bCs/>
          <w:sz w:val="24"/>
          <w:lang w:val="en-US" w:eastAsia="zh-CN"/>
        </w:rPr>
        <w:t>贵单位</w:t>
      </w:r>
      <w:r>
        <w:rPr>
          <w:rFonts w:hint="eastAsia" w:ascii="华文细黑" w:hAnsi="华文细黑" w:eastAsia="华文细黑" w:cs="华文细黑"/>
          <w:b/>
          <w:bCs/>
          <w:sz w:val="24"/>
        </w:rPr>
        <w:t>从未授权项目章及工作人员签认最终结算类文件的权力，</w:t>
      </w:r>
      <w:r>
        <w:rPr>
          <w:rFonts w:hint="eastAsia" w:ascii="华文细黑" w:hAnsi="华文细黑" w:eastAsia="华文细黑" w:cs="华文细黑"/>
          <w:b/>
          <w:bCs/>
          <w:sz w:val="24"/>
          <w:lang w:val="en-US" w:eastAsia="zh-CN"/>
        </w:rPr>
        <w:t>我单位</w:t>
      </w:r>
      <w:r>
        <w:rPr>
          <w:rFonts w:hint="eastAsia" w:ascii="华文细黑" w:hAnsi="华文细黑" w:eastAsia="华文细黑" w:cs="华文细黑"/>
          <w:b/>
          <w:bCs/>
          <w:sz w:val="24"/>
        </w:rPr>
        <w:t>表示知晓。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w:t>
      </w:r>
      <w:r>
        <w:rPr>
          <w:rFonts w:hint="eastAsia" w:ascii="华文细黑" w:hAnsi="华文细黑" w:eastAsia="华文细黑" w:cs="华文细黑"/>
          <w:b/>
          <w:bCs/>
          <w:sz w:val="24"/>
          <w:lang w:val="en-US" w:eastAsia="zh-CN"/>
        </w:rPr>
        <w:t>贵单位</w:t>
      </w:r>
      <w:r>
        <w:rPr>
          <w:rFonts w:hint="eastAsia" w:ascii="华文细黑" w:hAnsi="华文细黑" w:eastAsia="华文细黑" w:cs="华文细黑"/>
          <w:b/>
          <w:bCs/>
          <w:sz w:val="24"/>
        </w:rPr>
        <w:t>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5、付款方式及时间:</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5.1、付款方式：贵单位以银行转账方式支付。</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highlight w:val="yellow"/>
          <w:lang w:val="en-US" w:eastAsia="zh-CN"/>
        </w:rPr>
        <w:t>5.2、付款时间：贵单位每月25日前支付上月结算金额的</w:t>
      </w:r>
      <w:r>
        <w:rPr>
          <w:rFonts w:hint="eastAsia" w:ascii="华文细黑" w:hAnsi="华文细黑" w:eastAsia="华文细黑" w:cs="华文细黑"/>
          <w:sz w:val="24"/>
          <w:highlight w:val="yellow"/>
          <w:u w:val="single"/>
          <w:lang w:val="en-US" w:eastAsia="zh-CN"/>
        </w:rPr>
        <w:t xml:space="preserve">70 </w:t>
      </w:r>
      <w:r>
        <w:rPr>
          <w:rFonts w:hint="eastAsia" w:ascii="华文细黑" w:hAnsi="华文细黑" w:eastAsia="华文细黑" w:cs="华文细黑"/>
          <w:sz w:val="24"/>
          <w:highlight w:val="yellow"/>
          <w:lang w:val="en-US" w:eastAsia="zh-CN"/>
        </w:rPr>
        <w:t>%，余款</w:t>
      </w:r>
      <w:r>
        <w:rPr>
          <w:rFonts w:hint="eastAsia" w:ascii="华文细黑" w:hAnsi="华文细黑" w:eastAsia="华文细黑" w:cs="华文细黑"/>
          <w:sz w:val="24"/>
          <w:highlight w:val="yellow"/>
          <w:u w:val="single"/>
          <w:lang w:val="en-US" w:eastAsia="zh-CN"/>
        </w:rPr>
        <w:t>30</w:t>
      </w:r>
      <w:r>
        <w:rPr>
          <w:rFonts w:hint="eastAsia" w:ascii="华文细黑" w:hAnsi="华文细黑" w:eastAsia="华文细黑" w:cs="华文细黑"/>
          <w:sz w:val="24"/>
          <w:highlight w:val="yellow"/>
          <w:lang w:val="en-US" w:eastAsia="zh-CN"/>
        </w:rPr>
        <w:t xml:space="preserve"> %在我方完成最后一次供货并办理完总结算后 </w:t>
      </w:r>
      <w:r>
        <w:rPr>
          <w:rFonts w:hint="eastAsia" w:ascii="华文细黑" w:hAnsi="华文细黑" w:eastAsia="华文细黑" w:cs="华文细黑"/>
          <w:sz w:val="24"/>
          <w:highlight w:val="yellow"/>
          <w:u w:val="single"/>
          <w:lang w:val="en-US" w:eastAsia="zh-CN"/>
        </w:rPr>
        <w:t xml:space="preserve"> 6  </w:t>
      </w:r>
      <w:r>
        <w:rPr>
          <w:rFonts w:hint="eastAsia" w:ascii="华文细黑" w:hAnsi="华文细黑" w:eastAsia="华文细黑" w:cs="华文细黑"/>
          <w:sz w:val="24"/>
          <w:highlight w:val="yellow"/>
          <w:lang w:val="en-US" w:eastAsia="zh-CN"/>
        </w:rPr>
        <w:t>个月内无息付清。</w:t>
      </w:r>
    </w:p>
    <w:p>
      <w:pPr>
        <w:spacing w:line="360" w:lineRule="auto"/>
        <w:rPr>
          <w:rFonts w:hint="eastAsia" w:ascii="宋体" w:hAnsi="宋体" w:cs="宋体"/>
          <w:szCs w:val="21"/>
        </w:rPr>
      </w:pPr>
    </w:p>
    <w:p>
      <w:pPr>
        <w:spacing w:line="360" w:lineRule="auto"/>
        <w:rPr>
          <w:rFonts w:hint="eastAsia" w:ascii="宋体" w:hAnsi="宋体"/>
          <w:color w:val="000000"/>
          <w:szCs w:val="21"/>
        </w:rPr>
      </w:pPr>
    </w:p>
    <w:p>
      <w:pPr>
        <w:spacing w:line="360" w:lineRule="auto"/>
        <w:rPr>
          <w:rFonts w:hint="eastAsia" w:ascii="宋体" w:hAnsi="宋体" w:cs="宋体"/>
          <w:b/>
          <w:color w:val="000000"/>
          <w:szCs w:val="21"/>
        </w:rPr>
      </w:pPr>
    </w:p>
    <w:p>
      <w:pPr>
        <w:spacing w:line="500" w:lineRule="exact"/>
        <w:jc w:val="left"/>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rPr>
          <w:rFonts w:hint="eastAsia" w:ascii="华文细黑" w:hAnsi="华文细黑" w:eastAsia="华文细黑"/>
          <w:b/>
          <w:sz w:val="48"/>
        </w:rPr>
      </w:pPr>
      <w:r>
        <w:rPr>
          <w:rFonts w:hint="eastAsia" w:ascii="宋体" w:hAnsi="宋体" w:cs="宋体"/>
          <w:b/>
          <w:szCs w:val="21"/>
        </w:rPr>
        <w:t xml:space="preserve">                            年   月    日</w:t>
      </w:r>
    </w:p>
    <w:p>
      <w:pPr>
        <w:widowControl/>
        <w:adjustRightInd w:val="0"/>
        <w:snapToGrid w:val="0"/>
        <w:spacing w:line="360" w:lineRule="auto"/>
        <w:jc w:val="center"/>
        <w:rPr>
          <w:rFonts w:hint="eastAsia" w:ascii="华文细黑" w:hAnsi="华文细黑" w:eastAsia="华文细黑"/>
          <w:b/>
          <w:sz w:val="48"/>
          <w:lang w:val="en-US" w:eastAsia="zh-CN"/>
        </w:rPr>
      </w:pPr>
    </w:p>
    <w:p>
      <w:pPr>
        <w:widowControl/>
        <w:adjustRightInd w:val="0"/>
        <w:snapToGrid w:val="0"/>
        <w:spacing w:line="360" w:lineRule="auto"/>
        <w:jc w:val="center"/>
        <w:rPr>
          <w:rFonts w:hint="eastAsia" w:ascii="华文细黑" w:hAnsi="华文细黑" w:eastAsia="华文细黑"/>
          <w:b/>
          <w:sz w:val="48"/>
          <w:lang w:val="en-US" w:eastAsia="zh-CN"/>
        </w:rPr>
      </w:pPr>
    </w:p>
    <w:p>
      <w:pPr>
        <w:widowControl/>
        <w:adjustRightInd w:val="0"/>
        <w:snapToGrid w:val="0"/>
        <w:spacing w:line="360" w:lineRule="auto"/>
        <w:jc w:val="center"/>
        <w:rPr>
          <w:rFonts w:hint="eastAsia" w:ascii="华文细黑" w:hAnsi="华文细黑" w:eastAsia="华文细黑"/>
          <w:b/>
          <w:sz w:val="48"/>
        </w:rPr>
      </w:pPr>
      <w:r>
        <w:rPr>
          <w:rFonts w:hint="eastAsia" w:ascii="华文细黑" w:hAnsi="华文细黑" w:eastAsia="华文细黑"/>
          <w:b/>
          <w:sz w:val="48"/>
          <w:lang w:val="en-US" w:eastAsia="zh-CN"/>
        </w:rPr>
        <w:t>碧桂映象北城一期项目总承包工程</w:t>
      </w: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lang w:eastAsia="zh-CN"/>
        </w:rPr>
        <w:t>电线电缆</w:t>
      </w:r>
      <w:r>
        <w:rPr>
          <w:rFonts w:hint="eastAsia" w:ascii="华文细黑" w:hAnsi="华文细黑" w:eastAsia="华文细黑"/>
          <w:b/>
          <w:sz w:val="48"/>
        </w:rPr>
        <w:t>采购合同</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both"/>
        <w:rPr>
          <w:rFonts w:ascii="黑体" w:hAnsi="黑体" w:eastAsia="黑体"/>
          <w:b/>
          <w:sz w:val="28"/>
        </w:rPr>
      </w:pPr>
    </w:p>
    <w:p>
      <w:pPr>
        <w:rPr>
          <w:rFonts w:ascii="黑体" w:hAnsi="黑体" w:eastAsia="黑体"/>
          <w:b/>
          <w:sz w:val="28"/>
        </w:rPr>
      </w:pPr>
    </w:p>
    <w:p>
      <w:pPr>
        <w:spacing w:line="360" w:lineRule="auto"/>
        <w:jc w:val="center"/>
        <w:rPr>
          <w:rFonts w:ascii="宋体" w:hAnsi="宋体" w:cs="宋体"/>
          <w:sz w:val="36"/>
          <w:szCs w:val="36"/>
        </w:rPr>
      </w:pPr>
      <w:r>
        <w:rPr>
          <w:rFonts w:hint="eastAsia" w:ascii="宋体" w:hAnsi="宋体" w:eastAsia="宋体" w:cs="宋体"/>
          <w:sz w:val="36"/>
          <w:szCs w:val="36"/>
        </w:rPr>
        <w:t>（合同编号：CSCEC2B-XN-</w:t>
      </w:r>
      <w:r>
        <w:rPr>
          <w:rFonts w:hint="eastAsia" w:ascii="宋体" w:hAnsi="宋体" w:cs="宋体"/>
          <w:sz w:val="36"/>
          <w:szCs w:val="36"/>
          <w:lang w:val="en-US" w:eastAsia="zh-CN"/>
        </w:rPr>
        <w:t>BGYXBCYQ</w:t>
      </w:r>
      <w:r>
        <w:rPr>
          <w:rFonts w:hint="eastAsia" w:ascii="宋体" w:hAnsi="宋体" w:eastAsia="宋体" w:cs="宋体"/>
          <w:sz w:val="36"/>
          <w:szCs w:val="36"/>
        </w:rPr>
        <w:t>-CG-</w:t>
      </w:r>
      <w:r>
        <w:rPr>
          <w:rFonts w:hint="eastAsia" w:ascii="宋体" w:hAnsi="宋体" w:cs="宋体"/>
          <w:sz w:val="36"/>
          <w:szCs w:val="36"/>
          <w:lang w:val="en-US" w:eastAsia="zh-CN"/>
        </w:rPr>
        <w:t>003</w:t>
      </w:r>
      <w:r>
        <w:rPr>
          <w:rFonts w:hint="eastAsia" w:ascii="宋体" w:hAnsi="宋体" w:eastAsia="宋体" w:cs="宋体"/>
          <w:sz w:val="36"/>
          <w:szCs w:val="36"/>
        </w:rPr>
        <w:t>）</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rPr>
          <w:rFonts w:ascii="华文细黑" w:hAnsi="华文细黑" w:eastAsia="华文细黑"/>
          <w:bCs/>
          <w:sz w:val="32"/>
          <w:szCs w:val="32"/>
          <w:u w:val="single"/>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p>
    <w:p>
      <w:pPr>
        <w:widowControl/>
        <w:adjustRightInd w:val="0"/>
        <w:snapToGrid w:val="0"/>
        <w:spacing w:line="360" w:lineRule="auto"/>
        <w:ind w:firstLine="1920" w:firstLineChars="600"/>
        <w:rPr>
          <w:rFonts w:ascii="华文细黑" w:hAnsi="华文细黑" w:eastAsia="华文细黑"/>
          <w:bCs/>
          <w:sz w:val="32"/>
          <w:szCs w:val="32"/>
          <w:u w:val="single"/>
        </w:r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lang w:val="en-US" w:eastAsia="zh-CN"/>
        </w:rPr>
        <w:t xml:space="preserve">   </w:t>
      </w:r>
      <w:r>
        <w:rPr>
          <w:rFonts w:hint="eastAsia" w:ascii="华文细黑" w:hAnsi="华文细黑" w:eastAsia="华文细黑"/>
          <w:bCs/>
          <w:sz w:val="32"/>
          <w:szCs w:val="32"/>
          <w:u w:val="single"/>
        </w:rPr>
        <w:t xml:space="preserve">                       </w:t>
      </w:r>
    </w:p>
    <w:p>
      <w:pPr>
        <w:spacing w:line="360" w:lineRule="auto"/>
        <w:jc w:val="center"/>
        <w:rPr>
          <w:rFonts w:ascii="华文细黑" w:hAnsi="华文细黑" w:eastAsia="华文细黑"/>
          <w:b/>
          <w:snapToGrid w:val="0"/>
          <w:kern w:val="0"/>
          <w:sz w:val="30"/>
          <w:szCs w:val="30"/>
        </w:rPr>
        <w:sectPr>
          <w:footerReference r:id="rId4" w:type="default"/>
          <w:pgSz w:w="11906" w:h="16838"/>
          <w:pgMar w:top="1440" w:right="1417" w:bottom="1440" w:left="1417" w:header="851" w:footer="992" w:gutter="0"/>
          <w:pgNumType w:fmt="decimal" w:start="1"/>
          <w:cols w:space="0" w:num="1"/>
          <w:rtlGutter w:val="0"/>
          <w:docGrid w:type="lines" w:linePitch="312" w:charSpace="0"/>
        </w:sectPr>
      </w:pPr>
    </w:p>
    <w:p>
      <w:pPr>
        <w:spacing w:line="360" w:lineRule="auto"/>
        <w:jc w:val="center"/>
        <w:rPr>
          <w:rFonts w:hint="eastAsia" w:ascii="华文细黑" w:hAnsi="华文细黑" w:eastAsia="华文细黑"/>
          <w:b/>
          <w:snapToGrid w:val="0"/>
          <w:kern w:val="0"/>
          <w:sz w:val="30"/>
          <w:szCs w:val="30"/>
          <w:lang w:val="en-US" w:eastAsia="zh-CN"/>
        </w:rPr>
      </w:pPr>
      <w:r>
        <w:rPr>
          <w:rFonts w:hint="eastAsia" w:ascii="华文细黑" w:hAnsi="华文细黑" w:eastAsia="华文细黑"/>
          <w:b/>
          <w:snapToGrid w:val="0"/>
          <w:kern w:val="0"/>
          <w:sz w:val="30"/>
          <w:szCs w:val="30"/>
          <w:lang w:val="en-US" w:eastAsia="zh-CN"/>
        </w:rPr>
        <w:t>碧桂映象北城一期项目总承包工程</w:t>
      </w:r>
    </w:p>
    <w:p>
      <w:pPr>
        <w:spacing w:line="360" w:lineRule="auto"/>
        <w:jc w:val="center"/>
        <w:rPr>
          <w:rFonts w:ascii="华文细黑" w:hAnsi="华文细黑" w:eastAsia="华文细黑"/>
          <w:b/>
          <w:snapToGrid w:val="0"/>
          <w:kern w:val="0"/>
          <w:sz w:val="30"/>
          <w:szCs w:val="30"/>
        </w:rPr>
      </w:pPr>
      <w:r>
        <w:rPr>
          <w:rFonts w:hint="eastAsia" w:ascii="华文细黑" w:hAnsi="华文细黑" w:eastAsia="华文细黑"/>
          <w:b/>
          <w:snapToGrid w:val="0"/>
          <w:kern w:val="0"/>
          <w:sz w:val="30"/>
          <w:szCs w:val="30"/>
          <w:lang w:eastAsia="zh-CN"/>
        </w:rPr>
        <w:t>电线电缆</w:t>
      </w:r>
      <w:r>
        <w:rPr>
          <w:rFonts w:hint="eastAsia" w:ascii="华文细黑" w:hAnsi="华文细黑" w:eastAsia="华文细黑"/>
          <w:b/>
          <w:snapToGrid w:val="0"/>
          <w:kern w:val="0"/>
          <w:sz w:val="30"/>
          <w:szCs w:val="30"/>
        </w:rPr>
        <w:t>采购合同</w:t>
      </w:r>
    </w:p>
    <w:p>
      <w:pPr>
        <w:wordWrap w:val="0"/>
        <w:jc w:val="right"/>
        <w:rPr>
          <w:rFonts w:hint="default" w:ascii="宋体" w:hAnsi="宋体" w:cs="宋体" w:eastAsiaTheme="minorEastAsia"/>
          <w:szCs w:val="21"/>
          <w:lang w:val="en-US" w:eastAsia="zh-CN"/>
        </w:rPr>
      </w:pPr>
      <w:r>
        <w:rPr>
          <w:rFonts w:hint="eastAsia" w:ascii="黑体" w:hAnsi="黑体" w:eastAsia="黑体" w:cs="宋体"/>
          <w:sz w:val="24"/>
        </w:rPr>
        <w:t xml:space="preserve">                              </w:t>
      </w:r>
      <w:r>
        <w:rPr>
          <w:rFonts w:hint="eastAsia" w:asciiTheme="minorEastAsia" w:hAnsiTheme="minorEastAsia" w:eastAsiaTheme="minorEastAsia" w:cstheme="minorEastAsia"/>
          <w:sz w:val="24"/>
        </w:rPr>
        <w:t>合同编号：CSCEC2B-XN-</w:t>
      </w:r>
      <w:r>
        <w:rPr>
          <w:rFonts w:hint="eastAsia" w:ascii="宋体" w:hAnsi="宋体" w:cs="宋体" w:eastAsiaTheme="minorEastAsia"/>
          <w:sz w:val="24"/>
          <w:lang w:val="en-US" w:eastAsia="zh-CN"/>
        </w:rPr>
        <w:t>BGYXBCYQ</w:t>
      </w:r>
      <w:r>
        <w:rPr>
          <w:rFonts w:hint="eastAsia" w:asciiTheme="minorEastAsia" w:hAnsiTheme="minorEastAsia" w:eastAsiaTheme="minorEastAsia" w:cstheme="minorEastAsia"/>
          <w:sz w:val="24"/>
        </w:rPr>
        <w:t xml:space="preserve">-CG- </w:t>
      </w:r>
      <w:r>
        <w:rPr>
          <w:rFonts w:hint="eastAsia" w:asciiTheme="minorEastAsia" w:hAnsiTheme="minorEastAsia" w:eastAsiaTheme="minorEastAsia" w:cstheme="minorEastAsia"/>
          <w:sz w:val="24"/>
          <w:highlight w:val="yellow"/>
          <w:lang w:val="en-US" w:eastAsia="zh-CN"/>
        </w:rPr>
        <w:t>003</w:t>
      </w:r>
    </w:p>
    <w:p>
      <w:pPr>
        <w:widowControl/>
        <w:tabs>
          <w:tab w:val="left" w:pos="420"/>
        </w:tabs>
        <w:snapToGrid w:val="0"/>
        <w:spacing w:before="120" w:after="120" w:line="440" w:lineRule="exact"/>
        <w:rPr>
          <w:rFonts w:ascii="华文细黑" w:hAnsi="华文细黑" w:eastAsia="华文细黑"/>
          <w:spacing w:val="10"/>
          <w:sz w:val="24"/>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lang w:val="en-US" w:eastAsia="zh-CN"/>
        </w:rPr>
        <w:t xml:space="preserve">  </w:t>
      </w:r>
      <w:r>
        <w:rPr>
          <w:rFonts w:hint="eastAsia" w:ascii="华文细黑" w:hAnsi="华文细黑" w:eastAsia="华文细黑"/>
          <w:spacing w:val="10"/>
          <w:sz w:val="24"/>
          <w:highlight w:val="yellow"/>
          <w:u w:val="single"/>
        </w:rPr>
        <w:t xml:space="preserve">                      </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Times New Roman"/>
          <w:b w:val="0"/>
          <w:bCs/>
          <w:caps/>
          <w:snapToGrid w:val="0"/>
          <w:kern w:val="0"/>
          <w:sz w:val="24"/>
          <w:lang w:val="en-US" w:eastAsia="zh-CN"/>
        </w:rPr>
        <w:t>碧桂映象北城一期项目总承包工程</w:t>
      </w:r>
      <w:r>
        <w:rPr>
          <w:rFonts w:hint="eastAsia" w:ascii="华文细黑" w:hAnsi="华文细黑" w:eastAsia="华文细黑"/>
          <w:sz w:val="24"/>
          <w:lang w:val="en-US" w:eastAsia="zh-CN"/>
        </w:rPr>
        <w:t>总承包工程</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等事宜达成一致，特签订本合同。</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一、工程概况</w:t>
      </w:r>
    </w:p>
    <w:p>
      <w:pPr>
        <w:spacing w:line="440" w:lineRule="exact"/>
        <w:ind w:firstLine="480" w:firstLineChars="200"/>
        <w:rPr>
          <w:rFonts w:hint="eastAsia" w:ascii="华文细黑" w:hAnsi="华文细黑" w:eastAsia="华文细黑"/>
          <w:sz w:val="24"/>
          <w:lang w:eastAsia="zh-CN"/>
        </w:rPr>
      </w:pPr>
      <w:r>
        <w:rPr>
          <w:rFonts w:hint="eastAsia" w:ascii="华文细黑" w:hAnsi="华文细黑" w:eastAsia="华文细黑"/>
          <w:sz w:val="24"/>
        </w:rPr>
        <w:t>1、工程名称：</w:t>
      </w:r>
      <w:r>
        <w:rPr>
          <w:rFonts w:hint="eastAsia" w:ascii="华文细黑" w:hAnsi="华文细黑" w:eastAsia="华文细黑"/>
          <w:sz w:val="24"/>
          <w:highlight w:val="yellow"/>
          <w:u w:val="single"/>
          <w:lang w:val="en-US" w:eastAsia="zh-CN"/>
        </w:rPr>
        <w:t>碧桂映象北城一期项目总承包工程</w:t>
      </w:r>
    </w:p>
    <w:p>
      <w:pPr>
        <w:spacing w:line="440" w:lineRule="exact"/>
        <w:ind w:firstLine="480" w:firstLineChars="200"/>
        <w:rPr>
          <w:rFonts w:hint="default" w:ascii="华文细黑" w:hAnsi="华文细黑" w:eastAsia="华文细黑"/>
          <w:sz w:val="24"/>
          <w:lang w:val="en-US" w:eastAsia="zh-CN"/>
        </w:rPr>
      </w:pPr>
      <w:r>
        <w:rPr>
          <w:rFonts w:hint="eastAsia" w:ascii="华文细黑" w:hAnsi="华文细黑" w:eastAsia="华文细黑"/>
          <w:sz w:val="24"/>
        </w:rPr>
        <w:t>2、工程地点：</w:t>
      </w:r>
      <w:r>
        <w:rPr>
          <w:rFonts w:hint="eastAsia" w:ascii="华文细黑" w:hAnsi="华文细黑" w:eastAsia="华文细黑" w:cs="Times New Roman"/>
          <w:b w:val="0"/>
          <w:bCs/>
          <w:caps/>
          <w:snapToGrid w:val="0"/>
          <w:kern w:val="0"/>
          <w:sz w:val="24"/>
          <w:highlight w:val="yellow"/>
          <w:u w:val="single"/>
          <w:lang w:val="en-US" w:eastAsia="zh-CN"/>
        </w:rPr>
        <w:t>云南省昆明市盘龙区铂金大道与花城中路交叉口。</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 xml:space="preserve">3、工程范围: </w:t>
      </w:r>
      <w:r>
        <w:rPr>
          <w:rFonts w:hint="eastAsia" w:ascii="华文细黑" w:hAnsi="华文细黑" w:eastAsia="华文细黑"/>
          <w:sz w:val="24"/>
          <w:highlight w:val="yellow"/>
          <w:u w:val="single"/>
        </w:rPr>
        <w:t>仅限于</w:t>
      </w:r>
      <w:r>
        <w:rPr>
          <w:rFonts w:hint="eastAsia" w:ascii="华文细黑" w:hAnsi="华文细黑" w:eastAsia="华文细黑"/>
          <w:sz w:val="24"/>
          <w:highlight w:val="yellow"/>
          <w:u w:val="single"/>
          <w:lang w:val="en-US" w:eastAsia="zh-CN"/>
        </w:rPr>
        <w:t>碧桂映象北城一期项目总承包工程</w:t>
      </w:r>
      <w:r>
        <w:rPr>
          <w:rFonts w:hint="eastAsia" w:ascii="华文细黑" w:hAnsi="华文细黑" w:eastAsia="华文细黑"/>
          <w:sz w:val="24"/>
          <w:highlight w:val="yellow"/>
          <w:u w:val="single"/>
        </w:rPr>
        <w:t>的电线电缆供应</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tbl>
      <w:tblPr>
        <w:tblStyle w:val="5"/>
        <w:tblW w:w="10283" w:type="dxa"/>
        <w:jc w:val="center"/>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49"/>
        <w:gridCol w:w="1131"/>
        <w:gridCol w:w="2226"/>
        <w:gridCol w:w="1270"/>
        <w:gridCol w:w="946"/>
        <w:gridCol w:w="183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0"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序号</w:t>
            </w:r>
          </w:p>
        </w:tc>
        <w:tc>
          <w:tcPr>
            <w:tcW w:w="1449"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名称</w:t>
            </w:r>
          </w:p>
        </w:tc>
        <w:tc>
          <w:tcPr>
            <w:tcW w:w="1131" w:type="dxa"/>
            <w:vAlign w:val="center"/>
          </w:tcPr>
          <w:p>
            <w:pPr>
              <w:tabs>
                <w:tab w:val="left" w:pos="3780"/>
              </w:tabs>
              <w:spacing w:line="300" w:lineRule="exact"/>
              <w:ind w:firstLine="315" w:firstLineChars="150"/>
              <w:rPr>
                <w:rFonts w:ascii="华文细黑" w:hAnsi="华文细黑" w:eastAsia="华文细黑" w:cs="华文细黑"/>
                <w:b/>
                <w:bCs/>
                <w:szCs w:val="21"/>
              </w:rPr>
            </w:pPr>
            <w:r>
              <w:rPr>
                <w:rFonts w:hint="eastAsia" w:ascii="华文细黑" w:hAnsi="华文细黑" w:eastAsia="华文细黑" w:cs="华文细黑"/>
                <w:b/>
                <w:bCs/>
                <w:szCs w:val="21"/>
              </w:rPr>
              <w:t>品牌</w:t>
            </w:r>
          </w:p>
        </w:tc>
        <w:tc>
          <w:tcPr>
            <w:tcW w:w="2226"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规格型号</w:t>
            </w:r>
          </w:p>
        </w:tc>
        <w:tc>
          <w:tcPr>
            <w:tcW w:w="1270"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单位</w:t>
            </w:r>
          </w:p>
        </w:tc>
        <w:tc>
          <w:tcPr>
            <w:tcW w:w="946"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税率</w:t>
            </w:r>
          </w:p>
        </w:tc>
        <w:tc>
          <w:tcPr>
            <w:tcW w:w="1834"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不含增值税单价</w:t>
            </w:r>
          </w:p>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（元/单位）</w:t>
            </w:r>
          </w:p>
        </w:tc>
        <w:tc>
          <w:tcPr>
            <w:tcW w:w="797" w:type="dxa"/>
            <w:vAlign w:val="center"/>
          </w:tcPr>
          <w:p>
            <w:pPr>
              <w:tabs>
                <w:tab w:val="left" w:pos="3780"/>
              </w:tabs>
              <w:spacing w:line="300" w:lineRule="exact"/>
              <w:jc w:val="center"/>
              <w:rPr>
                <w:rFonts w:ascii="华文细黑" w:hAnsi="华文细黑" w:eastAsia="华文细黑" w:cs="华文细黑"/>
                <w:b/>
                <w:bCs/>
                <w:szCs w:val="21"/>
              </w:rPr>
            </w:pPr>
            <w:r>
              <w:rPr>
                <w:rFonts w:hint="eastAsia" w:ascii="华文细黑" w:hAnsi="华文细黑" w:eastAsia="华文细黑" w:cs="华文细黑"/>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YJLV-4*25+1*16</w:t>
            </w:r>
          </w:p>
        </w:tc>
        <w:tc>
          <w:tcPr>
            <w:tcW w:w="1270"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ascii="华文细黑" w:hAnsi="华文细黑" w:eastAsia="华文细黑" w:cs="华文细黑"/>
                <w:szCs w:val="21"/>
              </w:rPr>
            </w:pPr>
            <w:r>
              <w:rPr>
                <w:rFonts w:hint="eastAsia" w:ascii="华文细黑" w:hAnsi="华文细黑" w:eastAsia="华文细黑" w:cs="华文细黑"/>
                <w:szCs w:val="21"/>
              </w:rPr>
              <w:t>2</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YJLV-4*35+1*16</w:t>
            </w:r>
          </w:p>
        </w:tc>
        <w:tc>
          <w:tcPr>
            <w:tcW w:w="1270"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ascii="华文细黑" w:hAnsi="华文细黑" w:eastAsia="华文细黑" w:cs="华文细黑"/>
                <w:szCs w:val="21"/>
              </w:rPr>
            </w:pPr>
            <w:r>
              <w:rPr>
                <w:rFonts w:hint="eastAsia" w:ascii="华文细黑" w:hAnsi="华文细黑" w:eastAsia="华文细黑" w:cs="华文细黑"/>
                <w:szCs w:val="21"/>
              </w:rPr>
              <w:t>3</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YJLV-4*50+1*25</w:t>
            </w:r>
          </w:p>
        </w:tc>
        <w:tc>
          <w:tcPr>
            <w:tcW w:w="1270"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ascii="华文细黑" w:hAnsi="华文细黑" w:eastAsia="华文细黑" w:cs="华文细黑"/>
                <w:szCs w:val="21"/>
              </w:rPr>
            </w:pPr>
            <w:r>
              <w:rPr>
                <w:rFonts w:hint="eastAsia" w:ascii="华文细黑" w:hAnsi="华文细黑" w:eastAsia="华文细黑" w:cs="华文细黑"/>
                <w:szCs w:val="21"/>
              </w:rPr>
              <w:t>4</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YJLV-4*70+1*35</w:t>
            </w:r>
          </w:p>
        </w:tc>
        <w:tc>
          <w:tcPr>
            <w:tcW w:w="1270"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ascii="华文细黑" w:hAnsi="华文细黑" w:eastAsia="华文细黑" w:cs="华文细黑"/>
                <w:szCs w:val="21"/>
              </w:rPr>
            </w:pPr>
            <w:r>
              <w:rPr>
                <w:rFonts w:hint="eastAsia" w:ascii="华文细黑" w:hAnsi="华文细黑" w:eastAsia="华文细黑" w:cs="华文细黑"/>
                <w:szCs w:val="21"/>
              </w:rPr>
              <w:t>5</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YJLV-4*95+1*50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6</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YJLV-4*120+1*70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7</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YJLV-4*150+1*70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8</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YJLV-4*185+1*95</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9</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铝芯电缆</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YJLV-4*240+1*120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10</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铜芯线</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YJV-4*16+1*10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11</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铜芯线</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YJV-5*10</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0" w:type="dxa"/>
            <w:vAlign w:val="center"/>
          </w:tcPr>
          <w:p>
            <w:pPr>
              <w:tabs>
                <w:tab w:val="left" w:pos="3780"/>
              </w:tabs>
              <w:spacing w:line="300" w:lineRule="exact"/>
              <w:jc w:val="center"/>
              <w:rPr>
                <w:rFonts w:hint="default"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12</w:t>
            </w:r>
          </w:p>
        </w:tc>
        <w:tc>
          <w:tcPr>
            <w:tcW w:w="1449"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铜芯线</w:t>
            </w:r>
          </w:p>
        </w:tc>
        <w:tc>
          <w:tcPr>
            <w:tcW w:w="1131" w:type="dxa"/>
          </w:tcPr>
          <w:p>
            <w:pPr>
              <w:tabs>
                <w:tab w:val="left" w:pos="3780"/>
              </w:tabs>
              <w:spacing w:line="300" w:lineRule="exact"/>
              <w:jc w:val="center"/>
              <w:rPr>
                <w:rFonts w:ascii="华文细黑" w:hAnsi="华文细黑" w:eastAsia="华文细黑" w:cs="华文细黑"/>
                <w:szCs w:val="21"/>
              </w:rPr>
            </w:pPr>
          </w:p>
        </w:tc>
        <w:tc>
          <w:tcPr>
            <w:tcW w:w="2226"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YJV-5*6</w:t>
            </w:r>
          </w:p>
        </w:tc>
        <w:tc>
          <w:tcPr>
            <w:tcW w:w="1270" w:type="dxa"/>
            <w:vAlign w:val="center"/>
          </w:tcPr>
          <w:p>
            <w:pPr>
              <w:spacing w:line="360" w:lineRule="auto"/>
              <w:jc w:val="center"/>
              <w:rPr>
                <w:rFonts w:ascii="华文细黑" w:hAnsi="华文细黑" w:eastAsia="华文细黑" w:cs="华文细黑"/>
                <w:szCs w:val="21"/>
              </w:rPr>
            </w:pPr>
            <w:r>
              <w:rPr>
                <w:rFonts w:hint="eastAsia" w:ascii="黑体" w:hAnsi="黑体" w:eastAsia="黑体" w:cs="宋体"/>
                <w:sz w:val="24"/>
                <w:lang w:val="en-US" w:eastAsia="zh-CN"/>
              </w:rPr>
              <w:t>米</w:t>
            </w:r>
          </w:p>
        </w:tc>
        <w:tc>
          <w:tcPr>
            <w:tcW w:w="946" w:type="dxa"/>
          </w:tcPr>
          <w:p>
            <w:pPr>
              <w:jc w:val="center"/>
              <w:rPr>
                <w:rFonts w:ascii="华文细黑" w:hAnsi="华文细黑" w:eastAsia="华文细黑" w:cs="华文细黑"/>
                <w:szCs w:val="21"/>
              </w:rPr>
            </w:pPr>
          </w:p>
        </w:tc>
        <w:tc>
          <w:tcPr>
            <w:tcW w:w="1834" w:type="dxa"/>
            <w:vAlign w:val="center"/>
          </w:tcPr>
          <w:p>
            <w:pPr>
              <w:jc w:val="center"/>
              <w:rPr>
                <w:rFonts w:ascii="华文细黑" w:hAnsi="华文细黑" w:eastAsia="华文细黑" w:cs="华文细黑"/>
                <w:szCs w:val="21"/>
              </w:rPr>
            </w:pPr>
          </w:p>
        </w:tc>
        <w:tc>
          <w:tcPr>
            <w:tcW w:w="797" w:type="dxa"/>
            <w:vAlign w:val="center"/>
          </w:tcPr>
          <w:p>
            <w:pPr>
              <w:tabs>
                <w:tab w:val="left" w:pos="3780"/>
              </w:tabs>
              <w:spacing w:line="300" w:lineRule="exact"/>
              <w:jc w:val="center"/>
              <w:rPr>
                <w:rFonts w:ascii="华文细黑" w:hAnsi="华文细黑" w:eastAsia="华文细黑" w:cs="华文细黑"/>
                <w:szCs w:val="21"/>
              </w:rPr>
            </w:pPr>
          </w:p>
        </w:tc>
      </w:tr>
    </w:tbl>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hint="default" w:ascii="华文细黑" w:hAnsi="华文细黑" w:eastAsia="华文细黑" w:cs="华文细黑"/>
          <w:b/>
          <w:bCs/>
          <w:sz w:val="24"/>
          <w:highlight w:val="yellow"/>
          <w:lang w:val="en-US" w:eastAsia="zh-CN"/>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highlight w:val="yellow"/>
          <w:lang w:val="en-US" w:eastAsia="zh-CN"/>
        </w:rPr>
        <w:t>工地指定地点）</w:t>
      </w:r>
      <w:r>
        <w:rPr>
          <w:rFonts w:hint="eastAsia" w:ascii="华文细黑" w:hAnsi="华文细黑" w:eastAsia="华文细黑" w:cs="华文细黑"/>
          <w:sz w:val="24"/>
        </w:rPr>
        <w:t>、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r>
        <w:rPr>
          <w:rFonts w:hint="eastAsia" w:ascii="华文细黑" w:hAnsi="华文细黑" w:eastAsia="华文细黑" w:cs="华文细黑"/>
          <w:sz w:val="24"/>
          <w:highlight w:val="yellow"/>
        </w:rPr>
        <w:t>双方均充分考虑市场风险，在合同履行期间，如因市场因素造成电线电缆价格波动超过±</w:t>
      </w:r>
      <w:r>
        <w:rPr>
          <w:rFonts w:hint="eastAsia" w:ascii="华文细黑" w:hAnsi="华文细黑" w:eastAsia="华文细黑" w:cs="华文细黑"/>
          <w:sz w:val="24"/>
          <w:highlight w:val="yellow"/>
          <w:lang w:val="en-US" w:eastAsia="zh-CN"/>
        </w:rPr>
        <w:t>10</w:t>
      </w:r>
      <w:r>
        <w:rPr>
          <w:rFonts w:hint="eastAsia" w:ascii="华文细黑" w:hAnsi="华文细黑" w:eastAsia="华文细黑" w:cs="华文细黑"/>
          <w:sz w:val="24"/>
          <w:highlight w:val="yellow"/>
        </w:rPr>
        <w:t>% 时，</w:t>
      </w:r>
      <w:r>
        <w:rPr>
          <w:rFonts w:hint="eastAsia" w:ascii="华文细黑" w:hAnsi="华文细黑" w:eastAsia="华文细黑" w:cs="华文细黑"/>
          <w:sz w:val="24"/>
          <w:highlight w:val="yellow"/>
          <w:lang w:val="en-US" w:eastAsia="zh-CN"/>
        </w:rPr>
        <w:t>双方协商调价。</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、乙方理解甲方不一定会将电线电缆供应全部交由乙方完成，即甲方可根据实际需要选择或增加其他供应商，乙方必须无条件服从，且不得以任何理由提出费用补偿。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1、支付方式：甲方以银行转账方式支付。</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cs="华文细黑"/>
          <w:sz w:val="24"/>
          <w:highlight w:val="yellow"/>
        </w:rPr>
        <w:t>2、甲方每月25日前支付上月结算金额的</w:t>
      </w:r>
      <w:r>
        <w:rPr>
          <w:rFonts w:hint="eastAsia" w:ascii="华文细黑" w:hAnsi="华文细黑" w:eastAsia="华文细黑" w:cs="华文细黑"/>
          <w:sz w:val="24"/>
          <w:highlight w:val="yellow"/>
          <w:u w:val="single"/>
          <w:lang w:val="en-US" w:eastAsia="zh-CN"/>
        </w:rPr>
        <w:t>70</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%，余款</w:t>
      </w:r>
      <w:r>
        <w:rPr>
          <w:rFonts w:hint="eastAsia" w:ascii="华文细黑" w:hAnsi="华文细黑" w:eastAsia="华文细黑" w:cs="华文细黑"/>
          <w:sz w:val="24"/>
          <w:highlight w:val="yellow"/>
          <w:u w:val="single"/>
          <w:lang w:val="en-US" w:eastAsia="zh-CN"/>
        </w:rPr>
        <w:t>30</w:t>
      </w:r>
      <w:r>
        <w:rPr>
          <w:rFonts w:hint="eastAsia" w:ascii="华文细黑" w:hAnsi="华文细黑" w:eastAsia="华文细黑" w:cs="华文细黑"/>
          <w:sz w:val="24"/>
          <w:highlight w:val="yellow"/>
        </w:rPr>
        <w:t xml:space="preserve"> %在乙方完成最后一次供货并办理完总结算后</w:t>
      </w:r>
      <w:r>
        <w:rPr>
          <w:rFonts w:hint="eastAsia" w:ascii="华文细黑" w:hAnsi="华文细黑" w:eastAsia="华文细黑" w:cs="华文细黑"/>
          <w:sz w:val="24"/>
          <w:highlight w:val="yellow"/>
          <w:lang w:val="en-US" w:eastAsia="zh-CN"/>
        </w:rPr>
        <w:t>6</w:t>
      </w:r>
      <w:r>
        <w:rPr>
          <w:rFonts w:hint="eastAsia" w:ascii="华文细黑" w:hAnsi="华文细黑" w:eastAsia="华文细黑" w:cs="华文细黑"/>
          <w:sz w:val="24"/>
          <w:highlight w:val="yellow"/>
        </w:rPr>
        <w:t>个月内无息付清。</w:t>
      </w: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5"/>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91110000100024296D</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北京市通州区梨园镇北杨洼251号</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010-51816629</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北京银行总部基地支行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20000003821400010735153</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bl>
    <w:p>
      <w:pPr>
        <w:pStyle w:val="4"/>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Times New Roman"/>
          <w:sz w:val="24"/>
          <w:highlight w:val="yellow"/>
          <w:u w:val="single"/>
          <w:lang w:eastAsia="zh-CN"/>
        </w:rPr>
        <w:t>昆明市建设工程质量检测中心</w:t>
      </w:r>
      <w:r>
        <w:rPr>
          <w:rFonts w:hint="eastAsia" w:ascii="华文细黑" w:hAnsi="华文细黑" w:eastAsia="华文细黑" w:cs="华文细黑"/>
          <w:sz w:val="24"/>
        </w:rPr>
        <w:t>检测，经检测合格取得检测合格报告后方可认为</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为合格产品。</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采购订单，</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采购订单应包括数量、规格和进场时间，以便乙方做好供应</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spacing w:line="440" w:lineRule="exact"/>
        <w:ind w:firstLine="480" w:firstLineChars="200"/>
        <w:jc w:val="left"/>
        <w:rPr>
          <w:rFonts w:hint="eastAsia" w:ascii="华文细黑" w:hAnsi="华文细黑" w:eastAsia="华文细黑" w:cs="华文细黑"/>
          <w:sz w:val="24"/>
          <w:lang w:eastAsia="zh-CN"/>
        </w:rPr>
      </w:pPr>
      <w:r>
        <w:rPr>
          <w:rFonts w:hint="eastAsia" w:ascii="华文细黑" w:hAnsi="华文细黑" w:eastAsia="华文细黑" w:cs="华文细黑"/>
          <w:sz w:val="24"/>
        </w:rPr>
        <w:t>3、交货地点：</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highlight w:val="yellow"/>
        </w:rPr>
        <w:t>工地指定地点</w:t>
      </w:r>
      <w:r>
        <w:rPr>
          <w:rFonts w:hint="eastAsia" w:ascii="华文细黑" w:hAnsi="华文细黑" w:eastAsia="华文细黑" w:cs="华文细黑"/>
          <w:sz w:val="24"/>
          <w:highlight w:val="yellow"/>
          <w:lang w:eastAsia="zh-CN"/>
        </w:rPr>
        <w:t>。</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A、乙方无条件继续供应质量合格的</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以保证甲方工程需要；</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若所需电线电缆情况发生变化，及时将变化后的各项要求通知乙方。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按合同约定的时间、地点、质量和数量供应电线电缆，</w:t>
      </w:r>
      <w:r>
        <w:rPr>
          <w:rFonts w:hint="eastAsia" w:ascii="华文细黑" w:hAnsi="华文细黑" w:eastAsia="华文细黑" w:cs="华文细黑"/>
          <w:sz w:val="24"/>
        </w:rPr>
        <w:t>如乙方供应不符合要求的</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到甲方工地，甲方除要求乙方将不符合要求的</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500" w:firstLineChars="200"/>
        <w:rPr>
          <w:rFonts w:ascii="华文细黑" w:hAnsi="华文细黑" w:eastAsia="华文细黑" w:cs="华文细黑"/>
          <w:b/>
          <w:bCs/>
          <w:sz w:val="24"/>
        </w:rPr>
      </w:pPr>
      <w:r>
        <w:rPr>
          <w:rFonts w:hint="eastAsia" w:ascii="宋体" w:hAnsi="宋体" w:cs="宋体"/>
          <w:bCs/>
          <w:kern w:val="0"/>
          <w:sz w:val="25"/>
          <w:szCs w:val="25"/>
          <w:highlight w:val="yellow"/>
        </w:rPr>
        <w:t>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甲方：重庆市江北区江北城西大街27号金融中心A座5楼；乙方：</w:t>
      </w:r>
      <w:r>
        <w:rPr>
          <w:rFonts w:hint="eastAsia" w:ascii="宋体" w:hAnsi="宋体" w:cs="宋体"/>
          <w:bCs/>
          <w:kern w:val="0"/>
          <w:sz w:val="25"/>
          <w:szCs w:val="25"/>
          <w:highlight w:val="yellow"/>
          <w:u w:val="single"/>
          <w:lang w:val="en-US" w:eastAsia="zh-CN"/>
        </w:rPr>
        <w:t xml:space="preserve">                </w:t>
      </w:r>
      <w:r>
        <w:rPr>
          <w:rFonts w:hint="eastAsia" w:ascii="宋体" w:hAnsi="宋体" w:cs="宋体"/>
          <w:bCs/>
          <w:kern w:val="0"/>
          <w:sz w:val="25"/>
          <w:szCs w:val="25"/>
          <w:highlight w:val="yellow"/>
        </w:rPr>
        <w:t>。如任何一方未在本条款确认送达地址的，该方的送达地址以仲裁委员会受理案件时其在工商行政部门注册登记的地址为准。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440" w:lineRule="exact"/>
        <w:ind w:firstLine="480" w:firstLineChars="200"/>
        <w:jc w:val="left"/>
        <w:rPr>
          <w:rFonts w:ascii="华文细黑" w:hAnsi="华文细黑" w:eastAsia="华文细黑" w:cs="华文细黑"/>
          <w:sz w:val="24"/>
          <w:highlight w:val="yellow"/>
          <w:u w:val="single"/>
        </w:rPr>
      </w:pPr>
      <w:r>
        <w:rPr>
          <w:rFonts w:hint="eastAsia" w:ascii="华文细黑" w:hAnsi="华文细黑" w:eastAsia="华文细黑" w:cs="华文细黑"/>
          <w:sz w:val="24"/>
          <w:highlight w:val="yellow"/>
        </w:rPr>
        <w:t>甲方：结算办理前：</w:t>
      </w:r>
      <w:r>
        <w:rPr>
          <w:rFonts w:hint="eastAsia" w:ascii="华文细黑" w:hAnsi="华文细黑" w:eastAsia="华文细黑" w:cs="Times New Roman"/>
          <w:b w:val="0"/>
          <w:bCs/>
          <w:caps/>
          <w:snapToGrid w:val="0"/>
          <w:kern w:val="0"/>
          <w:sz w:val="24"/>
          <w:highlight w:val="yellow"/>
          <w:lang w:val="en-US" w:eastAsia="zh-CN"/>
        </w:rPr>
        <w:t>碧桂映象北城一期项目总承包工程</w:t>
      </w:r>
      <w:r>
        <w:rPr>
          <w:rFonts w:hint="eastAsia" w:ascii="华文细黑" w:hAnsi="华文细黑" w:eastAsia="华文细黑" w:cs="华文细黑"/>
          <w:sz w:val="24"/>
          <w:highlight w:val="yellow"/>
          <w:lang w:val="en-US" w:eastAsia="zh-CN"/>
        </w:rPr>
        <w:t>项目部</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结算办理后：</w:t>
      </w:r>
      <w:r>
        <w:rPr>
          <w:rFonts w:hint="eastAsia" w:ascii="华文细黑" w:hAnsi="华文细黑" w:eastAsia="华文细黑" w:cs="华文细黑"/>
          <w:sz w:val="24"/>
          <w:u w:val="single"/>
        </w:rPr>
        <w:t>重庆市江北区江北城西大街27号金融中心A座5楼。</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highlight w:val="yellow"/>
        </w:rPr>
        <w:t>乙方：</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，邮箱：</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只要甲方向乙方的收发文邮箱发出了文件或工作指令，视为甲方已向乙方送达了相应的文件或工作指令，乙方已收到甲方发出的相应文件或工作指令。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 xml:space="preserve">   （以下无正文）</w:t>
      </w:r>
    </w:p>
    <w:p>
      <w:pPr>
        <w:spacing w:line="440" w:lineRule="exact"/>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合同签订日期：       年      月      日       </w:t>
      </w: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b/>
          <w:bCs/>
          <w:sz w:val="21"/>
          <w:szCs w:val="21"/>
        </w:rPr>
      </w:pPr>
      <w:r>
        <w:rPr>
          <w:rFonts w:hint="eastAsia" w:ascii="宋体" w:hAnsi="宋体" w:cs="宋体"/>
          <w:szCs w:val="21"/>
        </w:rPr>
        <w:t xml:space="preserve">  </w:t>
      </w:r>
      <w:r>
        <w:rPr>
          <w:rFonts w:hint="eastAsia" w:ascii="宋体" w:hAnsi="宋体" w:eastAsia="宋体" w:cs="宋体"/>
          <w:b/>
          <w:bCs/>
          <w:sz w:val="36"/>
          <w:szCs w:val="36"/>
        </w:rPr>
        <w:t>项目总包与分供方质量管理协议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（□劳务分包□专业分包□甲指分包■物资设备供货单位）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甲方：</w:t>
      </w:r>
      <w:r>
        <w:rPr>
          <w:rFonts w:hint="eastAsia" w:ascii="宋体" w:hAnsi="宋体" w:eastAsia="宋体" w:cs="宋体"/>
          <w:b/>
          <w:bCs/>
          <w:sz w:val="21"/>
          <w:szCs w:val="21"/>
          <w:u w:val="single"/>
        </w:rPr>
        <w:t xml:space="preserve">中国建筑第二工程局有限公司 </w:t>
      </w:r>
      <w:r>
        <w:rPr>
          <w:rFonts w:hint="eastAsia" w:ascii="宋体" w:hAnsi="宋体" w:eastAsia="宋体" w:cs="宋体"/>
          <w:b/>
          <w:bCs/>
          <w:sz w:val="21"/>
          <w:szCs w:val="21"/>
        </w:rPr>
        <w:t>（以下简称甲方）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乙方：</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lang w:eastAsia="zh-CN"/>
        </w:rPr>
        <w:t>（</w:t>
      </w:r>
      <w:r>
        <w:rPr>
          <w:rFonts w:hint="eastAsia" w:ascii="宋体" w:hAnsi="宋体" w:eastAsia="宋体" w:cs="宋体"/>
          <w:b/>
          <w:bCs/>
          <w:sz w:val="21"/>
          <w:szCs w:val="21"/>
        </w:rPr>
        <w:t>以下简称乙方）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根据双方签订的《</w:t>
      </w:r>
      <w:r>
        <w:rPr>
          <w:rFonts w:hint="eastAsia" w:ascii="宋体" w:hAnsi="宋体"/>
          <w:szCs w:val="21"/>
          <w:highlight w:val="yellow"/>
          <w:lang w:val="en-US" w:eastAsia="zh-CN"/>
        </w:rPr>
        <w:t>电线电缆采购</w:t>
      </w:r>
      <w:r>
        <w:rPr>
          <w:rFonts w:hint="eastAsia" w:ascii="宋体" w:hAnsi="宋体" w:eastAsia="宋体" w:cs="宋体"/>
          <w:sz w:val="21"/>
          <w:szCs w:val="21"/>
          <w:lang w:eastAsia="zh-CN"/>
        </w:rPr>
        <w:t>合同</w:t>
      </w:r>
      <w:r>
        <w:rPr>
          <w:rFonts w:hint="eastAsia" w:ascii="宋体" w:hAnsi="宋体" w:eastAsia="宋体" w:cs="宋体"/>
          <w:sz w:val="21"/>
          <w:szCs w:val="21"/>
        </w:rPr>
        <w:t>》约定的工程名称、工作地点和工作内容，经甲乙双方友好协商，就本工作质量管理达成如下协议：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b/>
          <w:bCs/>
          <w:sz w:val="21"/>
          <w:szCs w:val="21"/>
        </w:rPr>
        <w:t>一、质量目标:</w:t>
      </w:r>
      <w:r>
        <w:rPr>
          <w:rFonts w:hint="eastAsia" w:ascii="宋体" w:hAnsi="宋体" w:eastAsia="宋体" w:cs="宋体"/>
          <w:sz w:val="21"/>
          <w:szCs w:val="21"/>
        </w:rPr>
        <w:t xml:space="preserve"> 满足总包对单位工程的质量目标要求，创昆</w:t>
      </w:r>
      <w:r>
        <w:rPr>
          <w:rFonts w:hint="eastAsia" w:ascii="宋体" w:hAnsi="宋体" w:eastAsia="宋体" w:cs="宋体"/>
          <w:sz w:val="21"/>
          <w:szCs w:val="21"/>
          <w:highlight w:val="yellow"/>
        </w:rPr>
        <w:t>明市优质工程奖和云南省优质工程奖</w:t>
      </w:r>
      <w:r>
        <w:rPr>
          <w:rFonts w:hint="eastAsia" w:ascii="宋体" w:hAnsi="宋体" w:eastAsia="宋体" w:cs="宋体"/>
          <w:sz w:val="21"/>
          <w:szCs w:val="21"/>
        </w:rPr>
        <w:t>，杜绝一般及以上质量事故的发生，杜绝使用伪劣冒牌物资设备.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二、甲方的权利、责任与义务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1、负责制定分包工程（机械设备）的质量管理目标、管理要求及验收标准。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2、负责督促分供方建立健全质量保证体系、督促其体系有效运行。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3、负责审核分供方提交的材料样品和工序样板。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4、负责对分供方进行质量技术交底，负责传达公司相关的质量管理文件要求。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5、负责组织分供方召开质量专题会议和质量专项检查。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6、负责组织分供方对原材料、成品、半成品、设备等进行检验和隐蔽验收工作。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7、负责接收和审核分供方提交的各类质量证明文件和质量资料。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8、负责对原材料、成品、半成品施工过程进行监督检查，对质量隐患提出整改意见或开具整改通知单。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9、负责制定分供方质量奖励和处罚措施并考核，并对分供方的质量工作进行奖励和处罚。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10、负责对违章作业和伪冒产品做出返工或退货处理。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11、负责审核分供方提交的请款报告。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12、负责组织质量隐患的调查处理。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三、乙方的权利、责任与义务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1、遵守甲方制定的规章制度和管理办法。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2、参加甲方组织的质量专题会议和质量专项检查。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3、参加甲方组织的质量技术交底和教育培训。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4、负责提交本单位的资质证书、营业执照、质量管理体系认证证书、质量管理体系组织架构图、本项目从事质量管理工作人员的资格证书（含管理人员上岗证及继续教育证明）。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5、对提供的产品(或分包工程)质量负责，保证达到质量目标要求，接收总包的考核、奖罚。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6、配置专职质量管理人员，50以下作业人员的分包单位要配置1名质量员，50~200作业人员的分包要配置2名质量员，200人以上作业人员要配置3名及以上质量员。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7、及时向甲方提交原材料材质证明（含过程管控资料），认真填写《自检记录单》和《交接检查记录单》等质量管控资料。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8、按时落实总包提出的质量整改意见、质量整改通知单及质量专题会议的要求。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9、配合总包对质量问题开展的调查处理工作。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10、根据总包要求按时提交产品样品（工序样板）供总包组织相关人员审核。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11、组织入场教育和班前教育活动，教育率100%。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12、接受总包、监理及各级主管部门监督检查。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13、负责做好自身工作的成品保护，不得损坏第三方的劳动成果和物资设备。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四、违约责任：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无论何种原因，若乙方提交的产品（工程质量和物资设备）出现不符合验收标准的情况，除进行返工（退货）、接受甲方处罚外，还要赔偿甲方的损失（工期成本、返工成本、上级处罚成本、地方监管部门处罚成本等损失），乙方不得借口甲方监督不到位而推卸自身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2、乙方未按要求配置项目专职质量管理人员或未持证上岗，甲方有权对乙方收取500元/次的违约金。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甲方有权对乙方在施工过程中存在的质量问题下发《质量整改通知单》，有权提出整改、返工等要求；乙方对甲方下发的《质量整改通知单》需及时整改并回复到位，未及时整改回复，甲方有权对乙方收取1000元/次的违约金，同时乙方必须限期整改到位并回复甲方，直至达到甲方认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4、甲方组织的质量观摩/质量月/质量教育培训等活动，乙方应积极参与配合；甲方组织的工程质量例会和质量专项检查，乙方不得无故缺席，未征得甲方同意而无故缺席，甲方有权对乙方收取500元/次的违约金。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5、乙方使用不合格材料、建筑构配件和设备、不按图施工或违反强制性规范的强制性条文造成严重影响使用功能和使用安全的质量问题，甲方有权对乙方收取50000元/次的违约金。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6、因乙方的施工原因和质量问题而影响到甲方在建设单位组织的集团质量检查（含第三方检测）中排名倒数前三的，甲方有权对乙方收取5000元/次的违约金。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收取50000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8、因乙方的施工原因和质量问题而影响到甲方受到各级建设行政主管部门通报，或因乙方工程质量问题通过媒体报道给甲方造成严重不良社会影响，甲方有权对乙方收取50000元/次的违约金。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9、因乙方的施工原因和质量问题而影响到该项目未能评上云南省优质工程奖，甲方有权要求乙方承担甲方的相应经济损失。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10、因乙方施工的原因造成的材料浪费及成品损坏，甲方有权对乙方收取500元/次的违约金，且甲方有权要求乙方承担甲方的相应经济损失。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五、其他约定：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1、本协议书与工程承包合同具有同等效力，如果与主供应合同相关条款不一致时，按照较严的条款执行。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2、本协议一式伍份，甲方执肆份，乙方执壹份，经各方签字盖章后生效，生效时间同分包合同保持一致。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甲方：（盖章）                            乙方：（盖章）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法定代表人：                              法定代表人：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委托代理人：                              委托代理人：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sz w:val="21"/>
          <w:szCs w:val="21"/>
        </w:rPr>
      </w:pPr>
    </w:p>
    <w:p>
      <w:pPr>
        <w:widowControl/>
        <w:spacing w:line="400" w:lineRule="exact"/>
        <w:jc w:val="both"/>
        <w:rPr>
          <w:rFonts w:hint="eastAsia"/>
          <w:b/>
          <w:bCs/>
          <w:color w:val="auto"/>
          <w:sz w:val="36"/>
          <w:szCs w:val="36"/>
          <w:highlight w:val="none"/>
        </w:rPr>
      </w:pPr>
      <w:r>
        <w:rPr>
          <w:rFonts w:hint="eastAsia" w:ascii="宋体" w:hAnsi="宋体" w:eastAsia="宋体" w:cs="宋体"/>
          <w:sz w:val="21"/>
          <w:szCs w:val="21"/>
        </w:rPr>
        <w:t>签订时间：      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br w:type="page"/>
      </w:r>
      <w:r>
        <w:rPr>
          <w:rFonts w:hint="eastAsia" w:ascii="宋体" w:hAnsi="宋体" w:eastAsia="宋体" w:cs="宋体"/>
          <w:b/>
          <w:bCs/>
          <w:sz w:val="36"/>
          <w:szCs w:val="36"/>
        </w:rPr>
        <w:t>安全管理协议书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甲方</w:t>
      </w:r>
      <w:r>
        <w:rPr>
          <w:rFonts w:hint="eastAsia" w:ascii="宋体" w:hAnsi="宋体" w:eastAsia="宋体" w:cs="宋体"/>
          <w:b/>
          <w:bCs/>
          <w:sz w:val="21"/>
          <w:szCs w:val="21"/>
        </w:rPr>
        <w:t>：</w:t>
      </w:r>
      <w:r>
        <w:rPr>
          <w:rFonts w:hint="eastAsia" w:ascii="宋体" w:hAnsi="宋体" w:eastAsia="宋体" w:cs="宋体"/>
          <w:b/>
          <w:bCs/>
          <w:sz w:val="21"/>
          <w:szCs w:val="21"/>
          <w:lang w:eastAsia="zh-CN"/>
        </w:rPr>
        <w:t>中国建筑第二工程局有限公司</w:t>
      </w:r>
      <w:r>
        <w:rPr>
          <w:rFonts w:hint="eastAsia" w:ascii="宋体" w:hAnsi="宋体" w:eastAsia="宋体" w:cs="宋体"/>
          <w:b/>
          <w:bCs/>
          <w:sz w:val="21"/>
          <w:szCs w:val="21"/>
        </w:rPr>
        <w:t>（简称甲方）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乙方</w:t>
      </w:r>
      <w:r>
        <w:rPr>
          <w:rFonts w:hint="eastAsia" w:ascii="宋体" w:hAnsi="宋体" w:eastAsia="宋体" w:cs="宋体"/>
          <w:b/>
          <w:bCs/>
          <w:sz w:val="21"/>
          <w:szCs w:val="21"/>
        </w:rPr>
        <w:t>：</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rPr>
        <w:t>（简称乙方）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经协商，发包人和承包人双方在已经签订的《</w:t>
      </w:r>
      <w:r>
        <w:rPr>
          <w:rFonts w:hint="eastAsia" w:ascii="宋体" w:hAnsi="宋体" w:cs="宋体"/>
          <w:sz w:val="21"/>
          <w:szCs w:val="21"/>
          <w:highlight w:val="yellow"/>
          <w:lang w:val="en-US" w:eastAsia="zh-CN"/>
        </w:rPr>
        <w:t>电线电缆采购</w:t>
      </w:r>
      <w:r>
        <w:rPr>
          <w:rFonts w:hint="eastAsia" w:ascii="宋体" w:hAnsi="宋体" w:eastAsia="宋体" w:cs="宋体"/>
          <w:sz w:val="21"/>
          <w:szCs w:val="21"/>
        </w:rPr>
        <w:t xml:space="preserve">合同》框架范围内，另签订本安全生产管理协议，以明确双方安全生产责任并共同遵守。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第一条 双方共同遵守国家《安全生产法》、《建筑法》、《劳动法》、《安全生产许可证条例》、</w:t>
      </w:r>
      <w:r>
        <w:rPr>
          <w:rFonts w:hint="eastAsia" w:ascii="宋体" w:hAnsi="宋体" w:eastAsia="宋体" w:cs="宋体"/>
          <w:sz w:val="21"/>
          <w:szCs w:val="21"/>
          <w:lang w:eastAsia="zh-CN"/>
        </w:rPr>
        <w:t>《</w:t>
      </w:r>
      <w:r>
        <w:rPr>
          <w:rFonts w:hint="eastAsia" w:ascii="宋体" w:hAnsi="宋体" w:eastAsia="宋体" w:cs="宋体"/>
          <w:sz w:val="21"/>
          <w:szCs w:val="21"/>
        </w:rPr>
        <w:t xml:space="preserve">建设工程安全生产管理条例》等一系列有关安全生产的法律法规，严格执行JGJ59— 2011《建筑施工安全检查标准》、JGJ46-2005《施工现场临时用电安全技术规范》等一系列标准、规程、规范。 </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第二条</w:t>
      </w:r>
      <w:r>
        <w:rPr>
          <w:rFonts w:hint="eastAsia" w:ascii="宋体" w:hAnsi="宋体"/>
          <w:szCs w:val="21"/>
        </w:rPr>
        <w:t>双方共同遵守中建二局有限公司及中建二局各项安全生产规章制度，贯彻执行职业健康安全和环境管理体系手册和程序文件。</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第三条 甲方和乙方之间是</w:t>
      </w:r>
      <w:r>
        <w:rPr>
          <w:rFonts w:hint="eastAsia" w:ascii="宋体" w:hAnsi="宋体"/>
          <w:szCs w:val="21"/>
          <w:highlight w:val="yellow"/>
          <w:lang w:val="en-US" w:eastAsia="zh-CN"/>
        </w:rPr>
        <w:t>采购</w:t>
      </w:r>
      <w:r>
        <w:rPr>
          <w:rFonts w:hint="eastAsia" w:ascii="宋体" w:hAnsi="宋体" w:eastAsia="宋体" w:cs="宋体"/>
          <w:sz w:val="21"/>
          <w:szCs w:val="21"/>
        </w:rPr>
        <w:t>合同协议关系，乙方与其雇佣的作业人员是劳动协议关系，乙方作为雇佣者是其所雇佣人员的安全生产责任主体。乙方必须与所雇佣的作业人员签订用工合同，为其购买工伤保险，并上报留底。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第四条 安全管理目标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 杜绝重伤、死亡生产安全事故；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2、控制因工轻伤事故频率不得超过3‰ ，力争为零；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3、杜绝因违规、违章造成的机械设备生产安全事故，杜绝机械设备管理事故；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4、杜绝因生活区宿舍、库房、物资、安全用电管理不到位，动火作业违章造成的火灾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5、杜绝发生重大交通安全事故；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6、杜绝发生盗窃，黄赌毒，群殴，故意伤害刑事案件；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7、杜绝发生因恶劣天气、高温措施不到位，群体食物中毒恶性事故；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8、杜绝发生职业健康、辐射、环境污染、生态破坏引发的重大事故；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9、保证安全生产、文明施工标准化创优，CI创优工作验收合格；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10、各项整改执行率必须达到100 ％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11、不被新闻媒体报光通报，不被政府部门或上级单位通报处罚。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第五条 发包人的安全责任、权利和义务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1、对承包人施工生产安全进行监督、管理、检查。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2、对承包人人员进行入场安全教育，定期对承包人进行安全生产法律法规、方针政策、标准规范、规章制度的教育。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安排承包人施工生产任务的同时，对按照规定程序审批的施工组织设计、专项施工方案进行书面安全技术交底。商务部进行合同交底，签用工合同协议，技术部进行方案技术交底，工程部进行安全技术交底，组织施工，物资部保证材料协调供给 ，质保部进行质量管理验收，安全部进行入场安全教育，现场管控、防护、安全验收，办公室进行实名制管理和宿舍管理。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4、工程安全防护、文明施工措施方案由发包人负责实施，费用由发包人支付。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5、有权制止承包人的违章作业，对重大违章行为有权责令其整改、停工整顿和经济处罚。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6、有权对安全素质差、不服从安全生产指挥的施工人员责令其限期退场。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7、按照规定要求对承包人采购的材料和自带施工机具、设备进行安全生产监督检查，项目部进行统一管理（费用由承包人承担），有权拒绝承包人不合格产品进场（已经进场的，限期退场）。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8、如果承包人存在重大安全隐患拒不整改或发生安全责任事故（除承担由此产生的一切责任外），发包人有权终止分包协议，责令承包人限期退场。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9、按照规定要求为进入施工现场的作业人员办理意外伤害保险。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10、按照分包合同发包人收取安全生产保证金，当承包人不服从安全生产指挥、违章作业时，发包人可以按照项目安全生产奖罚规定，直接在此保证金内扣除。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11、承包人必须与每个工人签订劳动合同，如不跟工人签订劳动合同，所造成的经济及法律责任全部由承包人承担。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第六条 承包人的安全责任、权利和义务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1、按照规定要求取得《建筑施工企业资质证》、《安全生产许可证》， 并报发包人备案，在证照许可的范围内承揽分包业务。根据法律法规要求和自身特点，建立健全安全管理体系，结合分包的具体内容和本项目的实际情况制定有操作性的安全生产责任制和安全生产规章制度。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2、按照规定配备专职安全管理人员：作业人员50 人以下的，设1 名专职安全员；50 人～200 人的，设2名专职安全员；200 人以上的，设3名及以上专职安全员，并应根据所承担的分部分项工程施工危险实际情况增配，并不少于总人数的5‰。作业班组设兼职安全巡查员，对本班组的作业场所进行安全监督检查。 安全管理人员素质符合规定要求，持有建设行政主管部门核发的“三类人员”安全考核合格证，证件报发包人备案。若乙方不按要求配备专职安全员，甲方有权代为聘请合格的专职安全员，其薪酬由甲方在乙方月度进度工程款项中按每月/人10000元扣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专业承包单位应当配置至少1人，并根据所承担的分部分项工程的工程量和施工危险程度增加。若专业承包单位不按要求配备专职安全员，甲方有权代为聘请合格的专职安全员，其薪酬由甲方在专业承包单位月度进度工程款项中按每月/人10000元扣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4、施工期间乙方指派</w:t>
      </w:r>
      <w:r>
        <w:rPr>
          <w:rFonts w:hint="eastAsia" w:ascii="宋体" w:hAnsi="宋体" w:eastAsia="宋体" w:cs="宋体"/>
          <w:sz w:val="21"/>
          <w:szCs w:val="21"/>
          <w:highlight w:val="yellow"/>
        </w:rPr>
        <w:t xml:space="preserve">         </w:t>
      </w:r>
      <w:r>
        <w:rPr>
          <w:rFonts w:hint="eastAsia" w:ascii="宋体" w:hAnsi="宋体" w:eastAsia="宋体" w:cs="宋体"/>
          <w:sz w:val="21"/>
          <w:szCs w:val="21"/>
        </w:rPr>
        <w:t>同志负责本工程的有关日常安全教育、安全巡查、安全纠违、安全隐患的排查与治理、重要危险源的旁站监督工作，且认真填写相关记录。乙方安全管理人员每天班前必须到甲方安全部签到或打卡。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ab/>
      </w:r>
      <w:r>
        <w:rPr>
          <w:rFonts w:hint="eastAsia" w:ascii="宋体" w:hAnsi="宋体" w:eastAsia="宋体" w:cs="宋体"/>
          <w:sz w:val="21"/>
          <w:szCs w:val="21"/>
        </w:rPr>
        <w:t>乙方安全员在业务上接受甲方安全管理部门的协调和指导，如不能胜任安全工作，甲方有权要求更换。乙方应在接到甲方通知后一周内完成换人工作。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7、负责所雇佣特种作业人员的培训、考核和取证，确保特种作业人员持证上岗，做到人证相符、证岗吻合。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对所雇佣人员进行安全生产三级教育，组织班组开展安全教育、学习、宣传、检查、整改等活动；负责对所雇佣人员进行实名制管理（造花名册、提供身份证复印件等）。并将这些资料报发包人备查。发包人不承担承包人未进行实名制管理、未进行三级安全教育人员的一切安全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9、按照发包人要求对施工班组、个人进行有针对性的安全技术交底（交底记录报发包人备案）， 合理安排身体素质、技术水平、安全意识均符合要求的人员上岗。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10、不违章指挥或强令工人冒险作业，不强迫工人超时间、超负荷作业。对发包人提供的安全设施不能保证安全施工时，及时提出整改要求并可以拒绝施工、拒绝发包人违章指挥。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11、承担所雇佣人员配备符合国家标准的劳动防护用品（安全带、安全帽须、绝缘鞋、软底鞋、手套、耳塞、口罩、反光背心，护目镜、太阳镜等，在</w:t>
      </w:r>
      <w:r>
        <w:rPr>
          <w:rFonts w:hint="eastAsia" w:ascii="宋体" w:hAnsi="宋体" w:eastAsia="宋体" w:cs="宋体"/>
          <w:sz w:val="21"/>
          <w:szCs w:val="21"/>
          <w:lang w:eastAsia="zh-CN"/>
        </w:rPr>
        <w:t>发包人</w:t>
      </w:r>
      <w:r>
        <w:rPr>
          <w:rFonts w:hint="eastAsia" w:ascii="宋体" w:hAnsi="宋体" w:eastAsia="宋体" w:cs="宋体"/>
          <w:sz w:val="21"/>
          <w:szCs w:val="21"/>
        </w:rPr>
        <w:t>合格劳保用品供应商中进行采购）所需费用。若分包单位不配备合格的劳动保护用品，发包人有权待其采购发放，费用在承包人月度工程进度款中加倍扣除。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12、不得使用（含租赁）国家明令淘汰、禁止使用的危及生产安全的工艺、机具和设备。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在施工期间乙方必须认真执行甲方安全生产、文明施工、防火管理等方面的制度及要求，督促本单位职工自觉遵守安全纪律、制度、法规和安全技术操作规程，对于检查出的隐患，乙方必须认真整改，定期不整改严格按照甲方的《安全生产奖罚制度》执行，并承担由此造成的后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14、分包所施工作业区域不能保证临边洞口等的安全防护必须同步，做到“工完场清”、文明施工。发包方可另行安排第三方实施，费用有该分包单位支付，并可加倍处罚。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 xml:space="preserve">第七条 事故调查处理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 xml:space="preserve">   1、乙方在甲方施工围挡外发生的任何事故，均由乙方自行处理，并承担全部责任。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 xml:space="preserve">    2、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安全事故责任划分：  在甲方施工围挡内，乙方导致（含第三方）人员伤亡、财产损失及费用时，由此给甲方造成的损失均由乙方承担，另外甲方有权按照如下原则对乙方收取惩罚性违约金：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1）单次事故的赔偿、协调及医疗等所有费用为A万元，保险理赔为B万元，实际损失C=（A-B）万元，甲方对乙方收取的惩罚性违约金如下：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（1）C≤10，则甲方向乙方收取0.7×C万元的违约金，违约金直接在乙方工程款时予以扣除；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（2）C＞10，则甲方向乙方收取0.5×C万元的违约金，违约金直接在乙方工程款时予以扣除。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 xml:space="preserve">3、因为乙方的责任（故意行为、自身身体疾病、严重违章、打架斗殴、擅自雇用不符合年龄和身体健康条件的人员、未能定期做好螺栓、锁销、钢丝绳的检查、保养工作、等）造成的安全事故，由乙方自行承担经济责任及法律责任，乙方应按照国家有关规定对伤亡职工或家属进行经济补偿，妥善处理好善后工作。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lang w:val="en-US" w:eastAsia="zh-CN"/>
        </w:rPr>
        <w:t>4</w:t>
      </w:r>
      <w:r>
        <w:rPr>
          <w:rFonts w:hint="eastAsia" w:ascii="宋体" w:hAnsi="宋体" w:eastAsia="宋体" w:cs="宋体"/>
          <w:sz w:val="21"/>
          <w:szCs w:val="21"/>
          <w:highlight w:val="yellow"/>
        </w:rPr>
        <w:t>、承包人在运输材料过程中，与第三方发生安全事故，造成伤亡或财产损坏的，由乙方自行承担相应后果和经济损失；第三方造成劳务承包人伤亡或财产损坏的，由乙方与第三方自行解决纠纷。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lang w:val="en-US" w:eastAsia="zh-CN"/>
        </w:rPr>
        <w:t>5</w:t>
      </w:r>
      <w:r>
        <w:rPr>
          <w:rFonts w:hint="eastAsia" w:ascii="宋体" w:hAnsi="宋体" w:eastAsia="宋体" w:cs="宋体"/>
          <w:sz w:val="21"/>
          <w:szCs w:val="21"/>
          <w:highlight w:val="yellow"/>
        </w:rPr>
        <w:t>、承包人的车辆进出工地，必须服从劳务发包人的指挥，文明驾驶，若车辆对劳务发包人的财产（大门，门禁系统，围挡等）造成损坏的，由乙方自行承担相应后果和经济损失。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甲方（公章）：                             乙方：（公章）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法定代表人：                              法定代表人：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委托代理人：                              委托代理人：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合同签订时间：      年       月       日</w:t>
      </w:r>
    </w:p>
    <w:p>
      <w:pPr>
        <w:spacing w:line="360" w:lineRule="auto"/>
        <w:rPr>
          <w:rFonts w:hint="eastAsia" w:ascii="宋体" w:hAnsi="宋体"/>
          <w:b/>
          <w:sz w:val="36"/>
          <w:szCs w:val="32"/>
        </w:rPr>
      </w:pPr>
      <w:r>
        <w:rPr>
          <w:rFonts w:hint="eastAsia" w:ascii="宋体" w:hAnsi="宋体"/>
          <w:b/>
          <w:sz w:val="36"/>
          <w:szCs w:val="32"/>
        </w:rPr>
        <w:t xml:space="preserve">              </w:t>
      </w:r>
    </w:p>
    <w:p>
      <w:pPr>
        <w:spacing w:line="360" w:lineRule="auto"/>
        <w:rPr>
          <w:rFonts w:hint="eastAsia" w:ascii="宋体" w:hAnsi="宋体"/>
          <w:b/>
          <w:sz w:val="36"/>
          <w:szCs w:val="32"/>
        </w:rPr>
      </w:pPr>
    </w:p>
    <w:p/>
    <w:p/>
    <w:p/>
    <w:p/>
    <w:p/>
    <w:p/>
    <w:p/>
    <w:p/>
    <w:p/>
    <w:p/>
    <w:p/>
    <w:p/>
    <w:p/>
    <w:p/>
    <w:p/>
    <w:p/>
    <w:p/>
    <w:p/>
    <w:p/>
    <w:p/>
    <w:p/>
    <w:p/>
    <w:p/>
    <w:p/>
    <w:p>
      <w:pPr>
        <w:spacing w:line="360" w:lineRule="auto"/>
        <w:jc w:val="center"/>
        <w:rPr>
          <w:rFonts w:hint="eastAsia"/>
          <w:b/>
          <w:bCs/>
          <w:color w:val="auto"/>
          <w:sz w:val="32"/>
          <w:szCs w:val="32"/>
          <w:highlight w:val="none"/>
          <w:lang w:val="en-US" w:eastAsia="zh-CN"/>
        </w:rPr>
      </w:pPr>
      <w:r>
        <w:rPr>
          <w:rFonts w:hint="eastAsia"/>
          <w:b/>
          <w:bCs/>
          <w:color w:val="auto"/>
          <w:sz w:val="32"/>
          <w:szCs w:val="32"/>
          <w:highlight w:val="none"/>
        </w:rPr>
        <w:t>中建二局</w:t>
      </w:r>
      <w:r>
        <w:rPr>
          <w:rFonts w:hint="eastAsia"/>
          <w:b/>
          <w:bCs/>
          <w:color w:val="auto"/>
          <w:sz w:val="32"/>
          <w:szCs w:val="32"/>
          <w:highlight w:val="none"/>
          <w:lang w:eastAsia="zh-CN"/>
        </w:rPr>
        <w:t>西南分公司</w:t>
      </w:r>
      <w:r>
        <w:rPr>
          <w:rFonts w:hint="eastAsia"/>
          <w:b/>
          <w:bCs/>
          <w:color w:val="auto"/>
          <w:sz w:val="32"/>
          <w:szCs w:val="32"/>
          <w:highlight w:val="none"/>
          <w:lang w:val="en-US" w:eastAsia="zh-CN"/>
        </w:rPr>
        <w:t>碧桂映象北城一期项目总承包工程</w:t>
      </w:r>
    </w:p>
    <w:p>
      <w:pPr>
        <w:spacing w:line="360" w:lineRule="auto"/>
        <w:jc w:val="center"/>
        <w:rPr>
          <w:color w:val="auto"/>
          <w:sz w:val="24"/>
          <w:highlight w:val="none"/>
        </w:rPr>
      </w:pPr>
      <w:r>
        <w:rPr>
          <w:rFonts w:hint="eastAsia"/>
          <w:b/>
          <w:bCs/>
          <w:color w:val="auto"/>
          <w:sz w:val="32"/>
          <w:szCs w:val="32"/>
          <w:highlight w:val="none"/>
        </w:rPr>
        <w:t>安全生产奖罚细则</w:t>
      </w:r>
    </w:p>
    <w:p>
      <w:pPr>
        <w:spacing w:line="360" w:lineRule="auto"/>
        <w:rPr>
          <w:rFonts w:ascii="宋体" w:hAnsi="宋体"/>
          <w:color w:val="auto"/>
        </w:rPr>
      </w:pPr>
      <w:r>
        <w:rPr>
          <w:rFonts w:hint="eastAsia" w:ascii="宋体" w:hAnsi="宋体"/>
          <w:color w:val="auto"/>
        </w:rPr>
        <w:t>一、总   则</w:t>
      </w:r>
    </w:p>
    <w:p>
      <w:pPr>
        <w:spacing w:line="360" w:lineRule="auto"/>
        <w:rPr>
          <w:rFonts w:ascii="宋体" w:hAnsi="宋体"/>
          <w:color w:val="auto"/>
        </w:rPr>
      </w:pPr>
      <w:r>
        <w:rPr>
          <w:rFonts w:hint="eastAsia" w:ascii="宋体" w:hAnsi="宋体"/>
          <w:color w:val="auto"/>
        </w:rPr>
        <w:t xml:space="preserve">    为认真贯彻“安全第一、预防为主、综合治理”的安全生产方针，加强企业对工程项目的安全生产全员管理、全过程管理、全方位管理，实现安全生产的标准化、科学化，保障职工在生产过程中的安全和健康。根据国家、部、省、市的有关法律、法规和规章制度及局的奖罚办法，为保证安全施工、文明生产的顺利进行，结合本项目的实际情况，特制定《安全生产奖罚细则》予以施行。</w:t>
      </w:r>
    </w:p>
    <w:p>
      <w:pPr>
        <w:spacing w:line="360" w:lineRule="auto"/>
        <w:rPr>
          <w:rFonts w:ascii="宋体" w:hAnsi="宋体"/>
          <w:color w:val="auto"/>
        </w:rPr>
      </w:pPr>
      <w:r>
        <w:rPr>
          <w:rFonts w:hint="eastAsia" w:ascii="宋体" w:hAnsi="宋体"/>
          <w:color w:val="auto"/>
        </w:rPr>
        <w:t>二、奖   励</w:t>
      </w:r>
    </w:p>
    <w:p>
      <w:pPr>
        <w:spacing w:line="360" w:lineRule="auto"/>
        <w:rPr>
          <w:rFonts w:ascii="宋体" w:hAnsi="宋体"/>
          <w:color w:val="auto"/>
        </w:rPr>
      </w:pPr>
      <w:r>
        <w:rPr>
          <w:rFonts w:hint="eastAsia" w:ascii="宋体" w:hAnsi="宋体"/>
          <w:color w:val="auto"/>
        </w:rPr>
        <w:t xml:space="preserve">  安全生产奖励，是鼓励广大职工积极搞好安全生产，杜绝人为事故发生的重要措施。凡在安全生产工作中，成绩突出，具备下列条件之一的班组（个人）给予奖励（包括荣誉奖励、物资奖励或嘉奖）。</w:t>
      </w:r>
    </w:p>
    <w:p>
      <w:pPr>
        <w:spacing w:line="360" w:lineRule="auto"/>
        <w:rPr>
          <w:rFonts w:ascii="宋体" w:hAnsi="宋体"/>
          <w:color w:val="auto"/>
        </w:rPr>
      </w:pPr>
      <w:r>
        <w:rPr>
          <w:rFonts w:hint="eastAsia" w:ascii="宋体" w:hAnsi="宋体"/>
          <w:color w:val="auto"/>
        </w:rPr>
        <w:t xml:space="preserve">    1、认真贯彻安全生产方针政策执行各自安全生产责任制和安全生产各项规章制度，有突出成绩的班组或个人。</w:t>
      </w:r>
    </w:p>
    <w:p>
      <w:pPr>
        <w:spacing w:line="360" w:lineRule="auto"/>
        <w:rPr>
          <w:rFonts w:ascii="宋体" w:hAnsi="宋体"/>
          <w:color w:val="auto"/>
        </w:rPr>
      </w:pPr>
      <w:r>
        <w:rPr>
          <w:rFonts w:hint="eastAsia" w:ascii="宋体" w:hAnsi="宋体"/>
          <w:color w:val="auto"/>
        </w:rPr>
        <w:t xml:space="preserve">    2、在每周安全生产竞赛活动中，以《建筑施工安全检查标准JGJ59-2011》为考核标准，对劳务分包单位进行打分，根据每周的考核成绩进行月评比，排名第一且每周评分均在90分以上的劳务分包单位。</w:t>
      </w:r>
    </w:p>
    <w:p>
      <w:pPr>
        <w:spacing w:line="360" w:lineRule="auto"/>
        <w:rPr>
          <w:rFonts w:ascii="宋体" w:hAnsi="宋体"/>
          <w:color w:val="auto"/>
        </w:rPr>
      </w:pPr>
      <w:r>
        <w:rPr>
          <w:rFonts w:hint="eastAsia" w:ascii="宋体" w:hAnsi="宋体"/>
          <w:color w:val="auto"/>
        </w:rPr>
        <w:t xml:space="preserve">    3、各项安全生产措施落实，安全技术交底清楚并且有针对性，班组安全活动正常，书面资料齐全，在本工地没有发生重伤以上事故的项目。</w:t>
      </w:r>
    </w:p>
    <w:p>
      <w:pPr>
        <w:spacing w:line="360" w:lineRule="auto"/>
        <w:ind w:firstLine="435"/>
        <w:rPr>
          <w:rFonts w:ascii="宋体" w:hAnsi="宋体"/>
          <w:color w:val="auto"/>
        </w:rPr>
      </w:pPr>
      <w:r>
        <w:rPr>
          <w:rFonts w:hint="eastAsia" w:ascii="宋体" w:hAnsi="宋体"/>
          <w:color w:val="auto"/>
        </w:rPr>
        <w:t>每周建筑施工安全检查时，各分包单位及班组在落实项目制定的各项安全生产措施方案有效实施，安全技术交底清楚并且有针对性，班组安全活动正常，书面资料齐全规范，在本工地没有发生工事故的班组，项目部对项目相关部门人员奖励200元，劳务分包单位负责人奖励500元，所属的班组长奖励300元班组员物质奖励。</w:t>
      </w:r>
    </w:p>
    <w:p>
      <w:pPr>
        <w:spacing w:line="360" w:lineRule="auto"/>
        <w:ind w:firstLine="435"/>
        <w:rPr>
          <w:rFonts w:ascii="宋体" w:hAnsi="宋体"/>
          <w:color w:val="auto"/>
        </w:rPr>
      </w:pPr>
      <w:r>
        <w:rPr>
          <w:rFonts w:hint="eastAsia" w:ascii="宋体" w:hAnsi="宋体"/>
          <w:color w:val="auto"/>
        </w:rPr>
        <w:t>4、在安全生产过程坚持原则，敢说敢管、能管善管，敢于抵制违章指挥，敢于制止违章作业的人员。</w:t>
      </w:r>
    </w:p>
    <w:p>
      <w:pPr>
        <w:spacing w:line="360" w:lineRule="auto"/>
        <w:rPr>
          <w:rFonts w:ascii="宋体" w:hAnsi="宋体"/>
          <w:color w:val="auto"/>
        </w:rPr>
      </w:pPr>
      <w:r>
        <w:rPr>
          <w:rFonts w:hint="eastAsia" w:ascii="宋体" w:hAnsi="宋体"/>
          <w:color w:val="auto"/>
        </w:rPr>
        <w:t xml:space="preserve">    5、认真做好本职工作，并能及时发现事故隐患，督促消除和预防重大事故的有功人员。</w:t>
      </w:r>
    </w:p>
    <w:p>
      <w:pPr>
        <w:spacing w:line="360" w:lineRule="auto"/>
        <w:rPr>
          <w:rFonts w:ascii="宋体" w:hAnsi="宋体"/>
          <w:color w:val="auto"/>
        </w:rPr>
      </w:pPr>
      <w:r>
        <w:rPr>
          <w:rFonts w:hint="eastAsia" w:ascii="宋体" w:hAnsi="宋体"/>
          <w:color w:val="auto"/>
        </w:rPr>
        <w:t xml:space="preserve">    6、在抢救工伤事故中的有功人员。</w:t>
      </w:r>
    </w:p>
    <w:p>
      <w:pPr>
        <w:spacing w:line="360" w:lineRule="auto"/>
        <w:rPr>
          <w:rFonts w:ascii="宋体" w:hAnsi="宋体"/>
          <w:color w:val="auto"/>
        </w:rPr>
      </w:pPr>
      <w:r>
        <w:rPr>
          <w:rFonts w:hint="eastAsia" w:ascii="宋体" w:hAnsi="宋体"/>
          <w:color w:val="auto"/>
        </w:rPr>
        <w:t xml:space="preserve">    7、为确保安全生产积极进行技术革新、发明创造、提合理化建议等，做出突出贡献的人员。</w:t>
      </w:r>
    </w:p>
    <w:p>
      <w:pPr>
        <w:spacing w:line="360" w:lineRule="auto"/>
        <w:rPr>
          <w:rFonts w:ascii="宋体" w:hAnsi="宋体"/>
          <w:color w:val="auto"/>
        </w:rPr>
      </w:pPr>
      <w:r>
        <w:rPr>
          <w:rFonts w:hint="eastAsia" w:ascii="宋体" w:hAnsi="宋体"/>
          <w:color w:val="auto"/>
        </w:rPr>
        <w:t xml:space="preserve">    8、在安全生产和文明施工过程中取得显著成绩者。</w:t>
      </w:r>
    </w:p>
    <w:p>
      <w:pPr>
        <w:spacing w:line="360" w:lineRule="auto"/>
        <w:rPr>
          <w:rFonts w:ascii="宋体" w:hAnsi="宋体"/>
          <w:color w:val="auto"/>
        </w:rPr>
      </w:pPr>
      <w:r>
        <w:rPr>
          <w:rFonts w:hint="eastAsia" w:ascii="宋体" w:hAnsi="宋体"/>
          <w:color w:val="auto"/>
        </w:rPr>
        <w:t xml:space="preserve">    9、坚持安全生产，并带动大家遵守安全技术操作规程，成绩显著班组或个人。</w:t>
      </w:r>
    </w:p>
    <w:p>
      <w:pPr>
        <w:spacing w:line="360" w:lineRule="auto"/>
        <w:rPr>
          <w:rFonts w:ascii="宋体" w:hAnsi="宋体"/>
          <w:color w:val="auto"/>
        </w:rPr>
      </w:pPr>
      <w:r>
        <w:rPr>
          <w:rFonts w:hint="eastAsia" w:ascii="宋体" w:hAnsi="宋体"/>
          <w:color w:val="auto"/>
        </w:rPr>
        <w:t xml:space="preserve">    10、在建设部、市、总公司、局等各级安全检查中，受到通报表扬的，根据实际情况，给予相关人员以一定奖励。</w:t>
      </w:r>
    </w:p>
    <w:p>
      <w:pPr>
        <w:spacing w:line="360" w:lineRule="auto"/>
        <w:rPr>
          <w:rFonts w:ascii="宋体" w:hAnsi="宋体"/>
          <w:color w:val="auto"/>
        </w:rPr>
      </w:pPr>
      <w:r>
        <w:rPr>
          <w:rFonts w:hint="eastAsia" w:ascii="宋体" w:hAnsi="宋体"/>
          <w:color w:val="auto"/>
        </w:rPr>
        <w:t xml:space="preserve">    11、无死亡、重伤、轻伤频率低于规定或获得（部省级）文明工地和其它荣誉称号的根据相关规定给予奖励。</w:t>
      </w:r>
    </w:p>
    <w:p>
      <w:pPr>
        <w:spacing w:line="360" w:lineRule="auto"/>
        <w:rPr>
          <w:rFonts w:ascii="宋体" w:hAnsi="宋体"/>
          <w:color w:val="auto"/>
        </w:rPr>
      </w:pPr>
      <w:r>
        <w:rPr>
          <w:rFonts w:hint="eastAsia" w:ascii="宋体" w:hAnsi="宋体"/>
          <w:color w:val="auto"/>
        </w:rPr>
        <w:t xml:space="preserve">    12、对在施工现场发现事故隐患并及时举报，经核实避免事故的对举报者给予200元的奖励。</w:t>
      </w:r>
    </w:p>
    <w:p>
      <w:pPr>
        <w:spacing w:line="360" w:lineRule="auto"/>
        <w:rPr>
          <w:rFonts w:ascii="宋体" w:hAnsi="宋体"/>
          <w:color w:val="auto"/>
        </w:rPr>
      </w:pPr>
      <w:r>
        <w:rPr>
          <w:rFonts w:hint="eastAsia" w:ascii="宋体" w:hAnsi="宋体"/>
          <w:color w:val="auto"/>
        </w:rPr>
        <w:t xml:space="preserve">    13、安全生产奖励在满足条件之后，由班组（个人）按奖励条件申报，并有书面材料报</w:t>
      </w:r>
      <w:r>
        <w:rPr>
          <w:rFonts w:hint="eastAsia" w:ascii="宋体" w:hAnsi="宋体"/>
          <w:color w:val="auto"/>
          <w:lang w:val="en-US" w:eastAsia="zh-CN"/>
        </w:rPr>
        <w:t xml:space="preserve"> 碧桂映象北城一期项目总承包工程</w:t>
      </w:r>
      <w:r>
        <w:rPr>
          <w:rFonts w:hint="eastAsia" w:ascii="宋体" w:hAnsi="宋体"/>
          <w:color w:val="auto"/>
        </w:rPr>
        <w:t>，经考核属实，由经理批准，进行奖励。</w:t>
      </w:r>
    </w:p>
    <w:p>
      <w:pPr>
        <w:spacing w:line="360" w:lineRule="auto"/>
        <w:rPr>
          <w:rFonts w:ascii="宋体" w:hAnsi="宋体"/>
          <w:color w:val="auto"/>
        </w:rPr>
      </w:pPr>
      <w:r>
        <w:rPr>
          <w:rFonts w:hint="eastAsia" w:ascii="宋体" w:hAnsi="宋体"/>
          <w:color w:val="auto"/>
        </w:rPr>
        <w:t>三、处   罚</w:t>
      </w:r>
    </w:p>
    <w:p>
      <w:pPr>
        <w:spacing w:line="360" w:lineRule="auto"/>
        <w:rPr>
          <w:rFonts w:ascii="宋体" w:hAnsi="宋体"/>
          <w:color w:val="auto"/>
        </w:rPr>
      </w:pPr>
      <w:r>
        <w:rPr>
          <w:rFonts w:hint="eastAsia" w:ascii="宋体" w:hAnsi="宋体"/>
          <w:color w:val="auto"/>
        </w:rPr>
        <w:t>安全处罚是杜绝人为事故发生的重要措施之一，是对违章指挥、违章操作、违反劳动安全生产纪律者惩罚的重要手段。通过安全处罚，可以加强对职工的教育，提高工人的安全意识。加强公司对项目管理，约束违规违纪的人为因素，强化劳务公司、劳务（班组）队伍对安全生产物质投入的督促手段。为此制定如下处罚细则，约束对劳务公司及所属班组人的不安全行为，物的不安全状态的管理。</w:t>
      </w:r>
    </w:p>
    <w:p>
      <w:pPr>
        <w:spacing w:line="360" w:lineRule="auto"/>
        <w:rPr>
          <w:rFonts w:ascii="宋体" w:hAnsi="宋体"/>
          <w:color w:val="auto"/>
        </w:rPr>
      </w:pPr>
      <w:r>
        <w:rPr>
          <w:rFonts w:hint="eastAsia" w:ascii="宋体" w:hAnsi="宋体"/>
          <w:color w:val="auto"/>
        </w:rPr>
        <w:t>（一）、一般安全纪律规定：</w:t>
      </w:r>
    </w:p>
    <w:p>
      <w:pPr>
        <w:spacing w:line="360" w:lineRule="auto"/>
        <w:rPr>
          <w:rFonts w:ascii="宋体" w:hAnsi="宋体"/>
          <w:color w:val="auto"/>
        </w:rPr>
      </w:pPr>
      <w:r>
        <w:rPr>
          <w:rFonts w:hint="eastAsia" w:ascii="宋体" w:hAnsi="宋体"/>
          <w:color w:val="auto"/>
        </w:rPr>
        <w:t>1、进入施工现场不戴安全帽</w:t>
      </w:r>
      <w:r>
        <w:rPr>
          <w:rFonts w:hint="eastAsia" w:ascii="宋体" w:hAnsi="宋体"/>
          <w:color w:val="auto"/>
          <w:lang w:eastAsia="zh-CN"/>
        </w:rPr>
        <w:t>甲方有权收取违约金</w:t>
      </w:r>
      <w:r>
        <w:rPr>
          <w:rFonts w:hint="eastAsia" w:ascii="宋体" w:hAnsi="宋体"/>
          <w:color w:val="auto"/>
        </w:rPr>
        <w:t>50元/人，不扣安全帽带的</w:t>
      </w:r>
      <w:r>
        <w:rPr>
          <w:rFonts w:hint="eastAsia" w:ascii="宋体" w:hAnsi="宋体"/>
          <w:color w:val="auto"/>
          <w:lang w:eastAsia="zh-CN"/>
        </w:rPr>
        <w:t>甲方有权收取违约金</w:t>
      </w:r>
      <w:r>
        <w:rPr>
          <w:rFonts w:hint="eastAsia" w:ascii="宋体" w:hAnsi="宋体"/>
          <w:color w:val="auto"/>
        </w:rPr>
        <w:t>20元/人。</w:t>
      </w:r>
    </w:p>
    <w:p>
      <w:pPr>
        <w:spacing w:line="360" w:lineRule="auto"/>
        <w:rPr>
          <w:rFonts w:ascii="宋体" w:hAnsi="宋体"/>
          <w:color w:val="auto"/>
        </w:rPr>
      </w:pPr>
      <w:r>
        <w:rPr>
          <w:rFonts w:hint="eastAsia" w:ascii="宋体" w:hAnsi="宋体"/>
          <w:color w:val="auto"/>
        </w:rPr>
        <w:t>2、施工人员进入施工现场吸游烟的、未在规定点吸烟点的</w:t>
      </w:r>
      <w:r>
        <w:rPr>
          <w:rFonts w:hint="eastAsia" w:ascii="宋体" w:hAnsi="宋体"/>
          <w:color w:val="auto"/>
          <w:lang w:eastAsia="zh-CN"/>
        </w:rPr>
        <w:t>甲方有权收取违约金</w:t>
      </w:r>
      <w:r>
        <w:rPr>
          <w:rFonts w:hint="eastAsia" w:ascii="宋体" w:hAnsi="宋体"/>
          <w:color w:val="auto"/>
        </w:rPr>
        <w:t>100元/人。</w:t>
      </w:r>
    </w:p>
    <w:p>
      <w:pPr>
        <w:spacing w:line="360" w:lineRule="auto"/>
        <w:rPr>
          <w:rFonts w:ascii="宋体" w:hAnsi="宋体"/>
          <w:color w:val="auto"/>
        </w:rPr>
      </w:pPr>
      <w:r>
        <w:rPr>
          <w:rFonts w:hint="eastAsia" w:ascii="宋体" w:hAnsi="宋体"/>
          <w:color w:val="auto"/>
        </w:rPr>
        <w:t>3、登高2米以上临边悬空施工作业未系安全带的</w:t>
      </w:r>
      <w:r>
        <w:rPr>
          <w:rFonts w:hint="eastAsia" w:ascii="宋体" w:hAnsi="宋体"/>
          <w:color w:val="auto"/>
          <w:lang w:eastAsia="zh-CN"/>
        </w:rPr>
        <w:t>甲方有权收取违约金</w:t>
      </w:r>
      <w:r>
        <w:rPr>
          <w:rFonts w:hint="eastAsia" w:ascii="宋体" w:hAnsi="宋体"/>
          <w:color w:val="auto"/>
        </w:rPr>
        <w:t>100元/人。</w:t>
      </w:r>
    </w:p>
    <w:p>
      <w:pPr>
        <w:spacing w:line="360" w:lineRule="auto"/>
        <w:rPr>
          <w:rFonts w:ascii="宋体" w:hAnsi="宋体"/>
          <w:color w:val="auto"/>
        </w:rPr>
      </w:pPr>
      <w:r>
        <w:rPr>
          <w:rFonts w:hint="eastAsia" w:ascii="宋体" w:hAnsi="宋体"/>
          <w:color w:val="auto"/>
        </w:rPr>
        <w:t>4、施工部位的“四口、五临边”（“楼梯口”、“电梯井口”、“预留洞口”、“通道口”，“五临边”“阳台临边”、“屋面临边”、“楼层临边”、“上下跑道”、“斜通道两侧边” ）要有防护设施，对无防护措施或防护不到位的</w:t>
      </w:r>
      <w:r>
        <w:rPr>
          <w:rFonts w:hint="eastAsia" w:ascii="宋体" w:hAnsi="宋体"/>
          <w:color w:val="auto"/>
          <w:lang w:eastAsia="zh-CN"/>
        </w:rPr>
        <w:t>甲方有权收取违约金</w:t>
      </w:r>
      <w:r>
        <w:rPr>
          <w:rFonts w:hint="eastAsia" w:ascii="宋体" w:hAnsi="宋体"/>
          <w:color w:val="auto"/>
        </w:rPr>
        <w:t>100元/处。</w:t>
      </w:r>
    </w:p>
    <w:p>
      <w:pPr>
        <w:spacing w:line="360" w:lineRule="auto"/>
        <w:rPr>
          <w:rFonts w:ascii="宋体" w:hAnsi="宋体"/>
          <w:color w:val="auto"/>
        </w:rPr>
      </w:pPr>
      <w:r>
        <w:rPr>
          <w:rFonts w:hint="eastAsia" w:ascii="宋体" w:hAnsi="宋体"/>
          <w:color w:val="auto"/>
        </w:rPr>
        <w:t>5、安全防护栏杆（如井架、电梯的基层栏杆维护）、洞口防护盖板、安全防护网、安全防护罩等其他防护设施不得擅自拆除、破坏，否则</w:t>
      </w:r>
      <w:r>
        <w:rPr>
          <w:rFonts w:hint="eastAsia" w:ascii="宋体" w:hAnsi="宋体"/>
          <w:color w:val="auto"/>
          <w:lang w:eastAsia="zh-CN"/>
        </w:rPr>
        <w:t>甲方有权收取违约金</w:t>
      </w:r>
      <w:r>
        <w:rPr>
          <w:rFonts w:hint="eastAsia" w:ascii="宋体" w:hAnsi="宋体"/>
          <w:color w:val="auto"/>
        </w:rPr>
        <w:t>100元/处。</w:t>
      </w:r>
    </w:p>
    <w:p>
      <w:pPr>
        <w:spacing w:line="360" w:lineRule="auto"/>
        <w:rPr>
          <w:rFonts w:ascii="宋体" w:hAnsi="宋体"/>
          <w:color w:val="auto"/>
        </w:rPr>
      </w:pPr>
      <w:r>
        <w:rPr>
          <w:rFonts w:hint="eastAsia" w:ascii="宋体" w:hAnsi="宋体"/>
          <w:color w:val="auto"/>
        </w:rPr>
        <w:t>6、随意破坏电缆防护措施的</w:t>
      </w:r>
      <w:r>
        <w:rPr>
          <w:rFonts w:hint="eastAsia" w:ascii="宋体" w:hAnsi="宋体"/>
          <w:color w:val="auto"/>
          <w:lang w:eastAsia="zh-CN"/>
        </w:rPr>
        <w:t>甲方有权收取违约金</w:t>
      </w:r>
      <w:r>
        <w:rPr>
          <w:rFonts w:hint="eastAsia" w:ascii="宋体" w:hAnsi="宋体"/>
          <w:color w:val="auto"/>
        </w:rPr>
        <w:t>100元/次。</w:t>
      </w:r>
    </w:p>
    <w:p>
      <w:pPr>
        <w:spacing w:line="360" w:lineRule="auto"/>
        <w:rPr>
          <w:rFonts w:ascii="宋体" w:hAnsi="宋体"/>
          <w:color w:val="auto"/>
        </w:rPr>
      </w:pPr>
      <w:r>
        <w:rPr>
          <w:rFonts w:hint="eastAsia" w:ascii="宋体" w:hAnsi="宋体"/>
          <w:color w:val="auto"/>
        </w:rPr>
        <w:t>7、衣服不整、赤膊上岗的</w:t>
      </w:r>
      <w:r>
        <w:rPr>
          <w:rFonts w:hint="eastAsia" w:ascii="宋体" w:hAnsi="宋体"/>
          <w:color w:val="auto"/>
          <w:lang w:eastAsia="zh-CN"/>
        </w:rPr>
        <w:t>甲方有权收取违约金</w:t>
      </w:r>
      <w:r>
        <w:rPr>
          <w:rFonts w:hint="eastAsia" w:ascii="宋体" w:hAnsi="宋体"/>
          <w:color w:val="auto"/>
        </w:rPr>
        <w:t>50元/人。</w:t>
      </w:r>
    </w:p>
    <w:p>
      <w:pPr>
        <w:spacing w:line="360" w:lineRule="auto"/>
        <w:rPr>
          <w:rFonts w:ascii="宋体" w:hAnsi="宋体"/>
          <w:color w:val="auto"/>
        </w:rPr>
      </w:pPr>
      <w:r>
        <w:rPr>
          <w:rFonts w:hint="eastAsia" w:ascii="宋体" w:hAnsi="宋体"/>
          <w:color w:val="auto"/>
        </w:rPr>
        <w:t>8、穿高跟鞋、裙子、拖鞋、光脚上班的</w:t>
      </w:r>
      <w:r>
        <w:rPr>
          <w:rFonts w:hint="eastAsia" w:ascii="宋体" w:hAnsi="宋体"/>
          <w:color w:val="auto"/>
          <w:lang w:eastAsia="zh-CN"/>
        </w:rPr>
        <w:t>甲方有权收取违约金</w:t>
      </w:r>
      <w:r>
        <w:rPr>
          <w:rFonts w:hint="eastAsia" w:ascii="宋体" w:hAnsi="宋体"/>
          <w:color w:val="auto"/>
        </w:rPr>
        <w:t>50元/人。</w:t>
      </w:r>
    </w:p>
    <w:p>
      <w:pPr>
        <w:spacing w:line="360" w:lineRule="auto"/>
        <w:rPr>
          <w:rFonts w:ascii="宋体" w:hAnsi="宋体"/>
          <w:color w:val="auto"/>
        </w:rPr>
      </w:pPr>
      <w:r>
        <w:rPr>
          <w:rFonts w:hint="eastAsia" w:ascii="宋体" w:hAnsi="宋体"/>
          <w:color w:val="auto"/>
        </w:rPr>
        <w:t>9、施工现场随地大小便的：大便</w:t>
      </w:r>
      <w:r>
        <w:rPr>
          <w:rFonts w:hint="eastAsia" w:ascii="宋体" w:hAnsi="宋体"/>
          <w:color w:val="auto"/>
          <w:lang w:eastAsia="zh-CN"/>
        </w:rPr>
        <w:t>甲方有权收取违约金</w:t>
      </w:r>
      <w:r>
        <w:rPr>
          <w:rFonts w:hint="eastAsia" w:ascii="宋体" w:hAnsi="宋体"/>
          <w:color w:val="auto"/>
        </w:rPr>
        <w:t>100元/次、小便</w:t>
      </w:r>
      <w:r>
        <w:rPr>
          <w:rFonts w:hint="eastAsia" w:ascii="宋体" w:hAnsi="宋体"/>
          <w:color w:val="auto"/>
          <w:lang w:eastAsia="zh-CN"/>
        </w:rPr>
        <w:t>甲方有权收取违约金</w:t>
      </w:r>
      <w:r>
        <w:rPr>
          <w:rFonts w:hint="eastAsia" w:ascii="宋体" w:hAnsi="宋体"/>
          <w:color w:val="auto"/>
        </w:rPr>
        <w:t>50元/次。</w:t>
      </w:r>
    </w:p>
    <w:p>
      <w:pPr>
        <w:spacing w:line="360" w:lineRule="auto"/>
        <w:rPr>
          <w:rFonts w:ascii="宋体" w:hAnsi="宋体"/>
          <w:color w:val="auto"/>
        </w:rPr>
      </w:pPr>
      <w:r>
        <w:rPr>
          <w:rFonts w:hint="eastAsia" w:ascii="宋体" w:hAnsi="宋体"/>
          <w:color w:val="auto"/>
        </w:rPr>
        <w:t>10、施工现场材料未及时清理、未堆码整齐的</w:t>
      </w:r>
      <w:r>
        <w:rPr>
          <w:rFonts w:hint="eastAsia" w:ascii="宋体" w:hAnsi="宋体"/>
          <w:color w:val="auto"/>
          <w:lang w:eastAsia="zh-CN"/>
        </w:rPr>
        <w:t>甲方有权收取违约金</w:t>
      </w:r>
      <w:r>
        <w:rPr>
          <w:rFonts w:hint="eastAsia" w:ascii="宋体" w:hAnsi="宋体"/>
          <w:color w:val="auto"/>
        </w:rPr>
        <w:t>100-500元/次。</w:t>
      </w:r>
    </w:p>
    <w:p>
      <w:pPr>
        <w:spacing w:line="360" w:lineRule="auto"/>
        <w:rPr>
          <w:rFonts w:ascii="宋体" w:hAnsi="宋体"/>
          <w:color w:val="auto"/>
        </w:rPr>
      </w:pPr>
      <w:r>
        <w:rPr>
          <w:rFonts w:hint="eastAsia" w:ascii="宋体" w:hAnsi="宋体"/>
          <w:color w:val="auto"/>
        </w:rPr>
        <w:t>11、施工队施工部位的文明施工管理混乱的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12、登高作业时往上或往下乱抛材料、工具等物件的</w:t>
      </w:r>
      <w:r>
        <w:rPr>
          <w:rFonts w:hint="eastAsia" w:ascii="宋体" w:hAnsi="宋体"/>
          <w:color w:val="auto"/>
          <w:lang w:eastAsia="zh-CN"/>
        </w:rPr>
        <w:t>甲方有权收取违约金</w:t>
      </w:r>
      <w:r>
        <w:rPr>
          <w:rFonts w:hint="eastAsia" w:ascii="宋体" w:hAnsi="宋体"/>
          <w:color w:val="auto"/>
        </w:rPr>
        <w:t>200-1000元/次。</w:t>
      </w:r>
    </w:p>
    <w:p>
      <w:pPr>
        <w:spacing w:line="360" w:lineRule="auto"/>
        <w:rPr>
          <w:rFonts w:ascii="宋体" w:hAnsi="宋体"/>
          <w:color w:val="auto"/>
        </w:rPr>
      </w:pPr>
      <w:r>
        <w:rPr>
          <w:rFonts w:hint="eastAsia" w:ascii="宋体" w:hAnsi="宋体"/>
          <w:color w:val="auto"/>
        </w:rPr>
        <w:t>13、酒后上岗作业的一般工种</w:t>
      </w:r>
      <w:r>
        <w:rPr>
          <w:rFonts w:hint="eastAsia" w:ascii="宋体" w:hAnsi="宋体"/>
          <w:color w:val="auto"/>
          <w:lang w:eastAsia="zh-CN"/>
        </w:rPr>
        <w:t>甲方有权收取违约金</w:t>
      </w:r>
      <w:r>
        <w:rPr>
          <w:rFonts w:hint="eastAsia" w:ascii="宋体" w:hAnsi="宋体"/>
          <w:color w:val="auto"/>
        </w:rPr>
        <w:t>50元，特殊工种</w:t>
      </w:r>
      <w:r>
        <w:rPr>
          <w:rFonts w:hint="eastAsia" w:ascii="宋体" w:hAnsi="宋体"/>
          <w:color w:val="auto"/>
          <w:lang w:eastAsia="zh-CN"/>
        </w:rPr>
        <w:t>甲方有权收取违约金</w:t>
      </w:r>
      <w:r>
        <w:rPr>
          <w:rFonts w:hint="eastAsia" w:ascii="宋体" w:hAnsi="宋体"/>
          <w:color w:val="auto"/>
        </w:rPr>
        <w:t>200元/人。</w:t>
      </w:r>
    </w:p>
    <w:p>
      <w:pPr>
        <w:spacing w:line="360" w:lineRule="auto"/>
        <w:rPr>
          <w:rFonts w:ascii="宋体" w:hAnsi="宋体"/>
          <w:color w:val="auto"/>
        </w:rPr>
      </w:pPr>
      <w:r>
        <w:rPr>
          <w:rFonts w:hint="eastAsia" w:ascii="宋体" w:hAnsi="宋体"/>
          <w:color w:val="auto"/>
        </w:rPr>
        <w:t>14、特殊工种无证上岗、无证操作、违章指挥、操作的</w:t>
      </w:r>
      <w:r>
        <w:rPr>
          <w:rFonts w:hint="eastAsia" w:ascii="宋体" w:hAnsi="宋体"/>
          <w:color w:val="auto"/>
          <w:lang w:eastAsia="zh-CN"/>
        </w:rPr>
        <w:t>甲方有权收取违约金</w:t>
      </w:r>
      <w:r>
        <w:rPr>
          <w:rFonts w:hint="eastAsia" w:ascii="宋体" w:hAnsi="宋体"/>
          <w:color w:val="auto"/>
        </w:rPr>
        <w:t>100元/人。</w:t>
      </w:r>
    </w:p>
    <w:p>
      <w:pPr>
        <w:spacing w:line="360" w:lineRule="auto"/>
        <w:rPr>
          <w:rFonts w:ascii="宋体" w:hAnsi="宋体"/>
          <w:color w:val="auto"/>
        </w:rPr>
      </w:pPr>
      <w:r>
        <w:rPr>
          <w:rFonts w:hint="eastAsia" w:ascii="宋体" w:hAnsi="宋体"/>
          <w:color w:val="auto"/>
        </w:rPr>
        <w:t>15、安全警示、警告标志随意拆除、破坏的</w:t>
      </w:r>
      <w:r>
        <w:rPr>
          <w:rFonts w:hint="eastAsia" w:ascii="宋体" w:hAnsi="宋体"/>
          <w:color w:val="auto"/>
          <w:lang w:eastAsia="zh-CN"/>
        </w:rPr>
        <w:t>甲方有权收取违约金</w:t>
      </w:r>
      <w:r>
        <w:rPr>
          <w:rFonts w:hint="eastAsia" w:ascii="宋体" w:hAnsi="宋体"/>
          <w:color w:val="auto"/>
        </w:rPr>
        <w:t>100元/次。</w:t>
      </w:r>
    </w:p>
    <w:p>
      <w:pPr>
        <w:spacing w:line="360" w:lineRule="auto"/>
        <w:rPr>
          <w:rFonts w:ascii="宋体" w:hAnsi="宋体"/>
          <w:color w:val="auto"/>
        </w:rPr>
      </w:pPr>
      <w:r>
        <w:rPr>
          <w:rFonts w:hint="eastAsia" w:ascii="宋体" w:hAnsi="宋体"/>
          <w:color w:val="auto"/>
        </w:rPr>
        <w:t>16、使用不合格的人字梯每处</w:t>
      </w:r>
      <w:r>
        <w:rPr>
          <w:rFonts w:hint="eastAsia" w:ascii="宋体" w:hAnsi="宋体"/>
          <w:color w:val="auto"/>
          <w:lang w:eastAsia="zh-CN"/>
        </w:rPr>
        <w:t>甲方有权收取违约金</w:t>
      </w:r>
      <w:r>
        <w:rPr>
          <w:rFonts w:hint="eastAsia" w:ascii="宋体" w:hAnsi="宋体"/>
          <w:color w:val="auto"/>
        </w:rPr>
        <w:t>100元。</w:t>
      </w:r>
    </w:p>
    <w:p>
      <w:pPr>
        <w:spacing w:line="360" w:lineRule="auto"/>
        <w:rPr>
          <w:rFonts w:ascii="宋体" w:hAnsi="宋体"/>
          <w:color w:val="auto"/>
        </w:rPr>
      </w:pPr>
      <w:r>
        <w:rPr>
          <w:rFonts w:hint="eastAsia" w:ascii="宋体" w:hAnsi="宋体"/>
          <w:color w:val="auto"/>
        </w:rPr>
        <w:t>17、分包单位项目经理、安全员不参加安全检查、安全例会的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18、每周无书面班组安全活动记录的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19、辱骂、威胁、伤害总包管理人员的</w:t>
      </w:r>
      <w:r>
        <w:rPr>
          <w:rFonts w:hint="eastAsia" w:ascii="宋体" w:hAnsi="宋体"/>
          <w:color w:val="auto"/>
          <w:lang w:eastAsia="zh-CN"/>
        </w:rPr>
        <w:t>甲方有权收取违约金</w:t>
      </w:r>
      <w:r>
        <w:rPr>
          <w:rFonts w:hint="eastAsia" w:ascii="宋体" w:hAnsi="宋体"/>
          <w:color w:val="auto"/>
        </w:rPr>
        <w:t>2000-20000元/次。</w:t>
      </w:r>
    </w:p>
    <w:p>
      <w:pPr>
        <w:spacing w:line="360" w:lineRule="auto"/>
        <w:rPr>
          <w:rFonts w:ascii="宋体" w:hAnsi="宋体"/>
          <w:color w:val="auto"/>
        </w:rPr>
      </w:pPr>
      <w:r>
        <w:rPr>
          <w:rFonts w:hint="eastAsia" w:ascii="宋体" w:hAnsi="宋体"/>
          <w:color w:val="auto"/>
        </w:rPr>
        <w:t>20、违反“安全生产六大纪律”、“起重吊装十不吊”、“气焊、电焊十不烧”及规范等规章制度的视情节严重的</w:t>
      </w:r>
      <w:r>
        <w:rPr>
          <w:rFonts w:hint="eastAsia" w:ascii="宋体" w:hAnsi="宋体"/>
          <w:color w:val="auto"/>
          <w:lang w:eastAsia="zh-CN"/>
        </w:rPr>
        <w:t>甲方有权收取违约金</w:t>
      </w:r>
      <w:r>
        <w:rPr>
          <w:rFonts w:hint="eastAsia" w:ascii="宋体" w:hAnsi="宋体"/>
          <w:color w:val="auto"/>
        </w:rPr>
        <w:t>200-2000元/次。</w:t>
      </w:r>
    </w:p>
    <w:p>
      <w:pPr>
        <w:spacing w:line="360" w:lineRule="auto"/>
        <w:rPr>
          <w:rFonts w:ascii="宋体" w:hAnsi="宋体"/>
          <w:color w:val="auto"/>
        </w:rPr>
      </w:pPr>
      <w:r>
        <w:rPr>
          <w:rFonts w:hint="eastAsia" w:ascii="宋体" w:hAnsi="宋体"/>
          <w:color w:val="auto"/>
        </w:rPr>
        <w:t>21、严禁因任何原因打架闹事，如有发生将对打架双方单位</w:t>
      </w:r>
      <w:r>
        <w:rPr>
          <w:rFonts w:hint="eastAsia" w:ascii="宋体" w:hAnsi="宋体"/>
          <w:color w:val="auto"/>
          <w:lang w:eastAsia="zh-CN"/>
        </w:rPr>
        <w:t>甲方有权收取违约金</w:t>
      </w:r>
      <w:r>
        <w:rPr>
          <w:rFonts w:hint="eastAsia" w:ascii="宋体" w:hAnsi="宋体"/>
          <w:color w:val="auto"/>
        </w:rPr>
        <w:t>2000-10000元/次。</w:t>
      </w:r>
    </w:p>
    <w:p>
      <w:pPr>
        <w:spacing w:line="360" w:lineRule="auto"/>
        <w:rPr>
          <w:rFonts w:ascii="宋体" w:hAnsi="宋体"/>
          <w:color w:val="auto"/>
        </w:rPr>
      </w:pPr>
      <w:r>
        <w:rPr>
          <w:rFonts w:hint="eastAsia" w:ascii="宋体" w:hAnsi="宋体"/>
          <w:color w:val="auto"/>
        </w:rPr>
        <w:t>22、工人未进行三级教育就进场施工的</w:t>
      </w:r>
      <w:r>
        <w:rPr>
          <w:rFonts w:hint="eastAsia" w:ascii="宋体" w:hAnsi="宋体"/>
          <w:color w:val="auto"/>
          <w:lang w:eastAsia="zh-CN"/>
        </w:rPr>
        <w:t>甲方有权收取违约金</w:t>
      </w:r>
      <w:r>
        <w:rPr>
          <w:rFonts w:hint="eastAsia" w:ascii="宋体" w:hAnsi="宋体"/>
          <w:color w:val="auto"/>
        </w:rPr>
        <w:t>200元/人。</w:t>
      </w:r>
    </w:p>
    <w:p>
      <w:pPr>
        <w:spacing w:line="360" w:lineRule="auto"/>
        <w:rPr>
          <w:rFonts w:ascii="宋体" w:hAnsi="宋体"/>
          <w:color w:val="auto"/>
        </w:rPr>
      </w:pPr>
      <w:r>
        <w:rPr>
          <w:rFonts w:hint="eastAsia" w:ascii="宋体" w:hAnsi="宋体"/>
          <w:color w:val="auto"/>
        </w:rPr>
        <w:t>（二）、防火规定：</w:t>
      </w:r>
    </w:p>
    <w:p>
      <w:pPr>
        <w:spacing w:line="360" w:lineRule="auto"/>
        <w:rPr>
          <w:rFonts w:ascii="宋体" w:hAnsi="宋体"/>
          <w:color w:val="auto"/>
        </w:rPr>
      </w:pPr>
      <w:r>
        <w:rPr>
          <w:rFonts w:hint="eastAsia" w:ascii="宋体" w:hAnsi="宋体"/>
          <w:color w:val="auto"/>
        </w:rPr>
        <w:t>1、未办理动火审批手续、动火点无监火人的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2、木工间、材料仓库或其他禁火场所吸烟的</w:t>
      </w:r>
      <w:r>
        <w:rPr>
          <w:rFonts w:hint="eastAsia" w:ascii="宋体" w:hAnsi="宋体"/>
          <w:color w:val="auto"/>
          <w:lang w:eastAsia="zh-CN"/>
        </w:rPr>
        <w:t>甲方有权收取违约金</w:t>
      </w:r>
      <w:r>
        <w:rPr>
          <w:rFonts w:hint="eastAsia" w:ascii="宋体" w:hAnsi="宋体"/>
          <w:color w:val="auto"/>
        </w:rPr>
        <w:t>200-500元/次。</w:t>
      </w:r>
    </w:p>
    <w:p>
      <w:pPr>
        <w:spacing w:line="360" w:lineRule="auto"/>
        <w:rPr>
          <w:rFonts w:ascii="宋体" w:hAnsi="宋体"/>
          <w:color w:val="auto"/>
        </w:rPr>
      </w:pPr>
      <w:r>
        <w:rPr>
          <w:rFonts w:hint="eastAsia" w:ascii="宋体" w:hAnsi="宋体"/>
          <w:color w:val="auto"/>
        </w:rPr>
        <w:t>3、木工间、材料仓库或危险品仓库未设置警示标志，未配备足量消防器材的</w:t>
      </w:r>
      <w:r>
        <w:rPr>
          <w:rFonts w:hint="eastAsia" w:ascii="宋体" w:hAnsi="宋体"/>
          <w:color w:val="auto"/>
          <w:lang w:eastAsia="zh-CN"/>
        </w:rPr>
        <w:t>甲方有权收取违约金</w:t>
      </w:r>
      <w:r>
        <w:rPr>
          <w:rFonts w:hint="eastAsia" w:ascii="宋体" w:hAnsi="宋体"/>
          <w:color w:val="auto"/>
        </w:rPr>
        <w:t>200/处。</w:t>
      </w:r>
    </w:p>
    <w:p>
      <w:pPr>
        <w:spacing w:line="360" w:lineRule="auto"/>
        <w:rPr>
          <w:rFonts w:ascii="宋体" w:hAnsi="宋体"/>
          <w:color w:val="auto"/>
        </w:rPr>
      </w:pPr>
      <w:r>
        <w:rPr>
          <w:rFonts w:hint="eastAsia" w:ascii="宋体" w:hAnsi="宋体"/>
          <w:color w:val="auto"/>
        </w:rPr>
        <w:t>4、乙炔、氧气瓶未按规定分开存放、运输，乙炔、丙烷瓶没有安装防震圈或回火装置的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5、氧气、乙炔、丙烷使用分开未达到5米以上的安全距离</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6、破坏、挪用消防器材的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7、发现一起火情事件的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8、造成财产损失及人员伤害的火灾事故的</w:t>
      </w:r>
      <w:r>
        <w:rPr>
          <w:rFonts w:hint="eastAsia" w:ascii="宋体" w:hAnsi="宋体"/>
          <w:color w:val="auto"/>
          <w:lang w:eastAsia="zh-CN"/>
        </w:rPr>
        <w:t>甲方有权收取违约金</w:t>
      </w:r>
      <w:r>
        <w:rPr>
          <w:rFonts w:hint="eastAsia" w:ascii="宋体" w:hAnsi="宋体"/>
          <w:color w:val="auto"/>
        </w:rPr>
        <w:t>10000-50000元/次，情节恶劣的将追究刑责。</w:t>
      </w:r>
    </w:p>
    <w:p>
      <w:pPr>
        <w:spacing w:line="360" w:lineRule="auto"/>
        <w:rPr>
          <w:rFonts w:ascii="宋体" w:hAnsi="宋体"/>
          <w:color w:val="auto"/>
        </w:rPr>
      </w:pPr>
      <w:r>
        <w:rPr>
          <w:rFonts w:hint="eastAsia" w:ascii="宋体" w:hAnsi="宋体"/>
          <w:color w:val="auto"/>
        </w:rPr>
        <w:t>（三）、脚手架规定：</w:t>
      </w:r>
    </w:p>
    <w:p>
      <w:pPr>
        <w:spacing w:line="360" w:lineRule="auto"/>
        <w:rPr>
          <w:rFonts w:ascii="宋体" w:hAnsi="宋体"/>
          <w:color w:val="auto"/>
        </w:rPr>
      </w:pPr>
      <w:r>
        <w:rPr>
          <w:rFonts w:hint="eastAsia" w:ascii="宋体" w:hAnsi="宋体"/>
          <w:color w:val="auto"/>
        </w:rPr>
        <w:t>1、破坏脚手架地基、拉结、扣件等设施的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2、外架钢笆片上材料、建筑垃圾堆放未及时清理的</w:t>
      </w:r>
      <w:r>
        <w:rPr>
          <w:rFonts w:hint="eastAsia" w:ascii="宋体" w:hAnsi="宋体"/>
          <w:color w:val="auto"/>
          <w:lang w:eastAsia="zh-CN"/>
        </w:rPr>
        <w:t>甲方有权收取违约金</w:t>
      </w:r>
      <w:r>
        <w:rPr>
          <w:rFonts w:hint="eastAsia" w:ascii="宋体" w:hAnsi="宋体"/>
          <w:color w:val="auto"/>
        </w:rPr>
        <w:t>200元/层</w:t>
      </w:r>
    </w:p>
    <w:p>
      <w:pPr>
        <w:spacing w:line="360" w:lineRule="auto"/>
        <w:rPr>
          <w:rFonts w:ascii="宋体" w:hAnsi="宋体"/>
          <w:color w:val="auto"/>
        </w:rPr>
      </w:pPr>
      <w:r>
        <w:rPr>
          <w:rFonts w:hint="eastAsia" w:ascii="宋体" w:hAnsi="宋体"/>
          <w:color w:val="auto"/>
        </w:rPr>
        <w:t>3、外架拆除时无警戒、无专人监护的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4、外架未进行防雷接地保护的</w:t>
      </w:r>
      <w:r>
        <w:rPr>
          <w:rFonts w:hint="eastAsia" w:ascii="宋体" w:hAnsi="宋体"/>
          <w:color w:val="auto"/>
          <w:lang w:eastAsia="zh-CN"/>
        </w:rPr>
        <w:t>甲方有权收取违约金</w:t>
      </w:r>
      <w:r>
        <w:rPr>
          <w:rFonts w:hint="eastAsia" w:ascii="宋体" w:hAnsi="宋体"/>
          <w:color w:val="auto"/>
        </w:rPr>
        <w:t>200元/栋。</w:t>
      </w:r>
    </w:p>
    <w:p>
      <w:pPr>
        <w:spacing w:line="360" w:lineRule="auto"/>
        <w:rPr>
          <w:rFonts w:ascii="宋体" w:hAnsi="宋体"/>
          <w:color w:val="auto"/>
        </w:rPr>
      </w:pPr>
      <w:r>
        <w:rPr>
          <w:rFonts w:hint="eastAsia" w:ascii="宋体" w:hAnsi="宋体"/>
          <w:color w:val="auto"/>
        </w:rPr>
        <w:t>5、未按要求对外架进行四步一隔离</w:t>
      </w:r>
      <w:r>
        <w:rPr>
          <w:rFonts w:hint="eastAsia" w:ascii="宋体" w:hAnsi="宋体"/>
          <w:color w:val="auto"/>
          <w:lang w:eastAsia="zh-CN"/>
        </w:rPr>
        <w:t>甲方有权收取违约金</w:t>
      </w:r>
      <w:r>
        <w:rPr>
          <w:rFonts w:hint="eastAsia" w:ascii="宋体" w:hAnsi="宋体"/>
          <w:color w:val="auto"/>
        </w:rPr>
        <w:t>200元/处、隔离防护不严的</w:t>
      </w:r>
      <w:r>
        <w:rPr>
          <w:rFonts w:hint="eastAsia" w:ascii="宋体" w:hAnsi="宋体"/>
          <w:color w:val="auto"/>
          <w:lang w:eastAsia="zh-CN"/>
        </w:rPr>
        <w:t>甲方有权收取违约金</w:t>
      </w:r>
      <w:r>
        <w:rPr>
          <w:rFonts w:hint="eastAsia" w:ascii="宋体" w:hAnsi="宋体"/>
          <w:color w:val="auto"/>
        </w:rPr>
        <w:t>100元/处。</w:t>
      </w:r>
    </w:p>
    <w:p>
      <w:pPr>
        <w:spacing w:line="360" w:lineRule="auto"/>
        <w:rPr>
          <w:rFonts w:ascii="宋体" w:hAnsi="宋体"/>
          <w:color w:val="auto"/>
        </w:rPr>
      </w:pPr>
      <w:r>
        <w:rPr>
          <w:rFonts w:hint="eastAsia" w:ascii="宋体" w:hAnsi="宋体"/>
          <w:color w:val="auto"/>
        </w:rPr>
        <w:t>6、外架拉接点未按规范或方案要求设置或拉接点严重偏少的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7、未单独搭设电梯或井架卸料通道的</w:t>
      </w:r>
      <w:r>
        <w:rPr>
          <w:rFonts w:hint="eastAsia" w:ascii="宋体" w:hAnsi="宋体"/>
          <w:color w:val="auto"/>
          <w:lang w:eastAsia="zh-CN"/>
        </w:rPr>
        <w:t>甲方有权收取违约金</w:t>
      </w:r>
      <w:r>
        <w:rPr>
          <w:rFonts w:hint="eastAsia" w:ascii="宋体" w:hAnsi="宋体"/>
          <w:color w:val="auto"/>
        </w:rPr>
        <w:t>200元/台。</w:t>
      </w:r>
    </w:p>
    <w:p>
      <w:pPr>
        <w:spacing w:line="360" w:lineRule="auto"/>
        <w:rPr>
          <w:rFonts w:ascii="宋体" w:hAnsi="宋体"/>
          <w:color w:val="auto"/>
        </w:rPr>
      </w:pPr>
      <w:r>
        <w:rPr>
          <w:rFonts w:hint="eastAsia" w:ascii="宋体" w:hAnsi="宋体"/>
          <w:color w:val="auto"/>
        </w:rPr>
        <w:t>8、直接利用外架进行混凝土泵管固定或充做支架的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9、外架基础区积水的未采取有效措施的</w:t>
      </w:r>
      <w:r>
        <w:rPr>
          <w:rFonts w:hint="eastAsia" w:ascii="宋体" w:hAnsi="宋体"/>
          <w:color w:val="auto"/>
          <w:lang w:eastAsia="zh-CN"/>
        </w:rPr>
        <w:t>甲方有权收取违约金</w:t>
      </w:r>
      <w:r>
        <w:rPr>
          <w:rFonts w:hint="eastAsia" w:ascii="宋体" w:hAnsi="宋体"/>
          <w:color w:val="auto"/>
        </w:rPr>
        <w:t>200元/处*次。</w:t>
      </w:r>
    </w:p>
    <w:p>
      <w:pPr>
        <w:spacing w:line="360" w:lineRule="auto"/>
        <w:rPr>
          <w:rFonts w:ascii="宋体" w:hAnsi="宋体"/>
          <w:color w:val="auto"/>
        </w:rPr>
      </w:pPr>
      <w:r>
        <w:rPr>
          <w:rFonts w:hint="eastAsia" w:ascii="宋体" w:hAnsi="宋体"/>
          <w:color w:val="auto"/>
        </w:rPr>
        <w:t>10、外架剪刀撑设置不合理或严重变形的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11、剪刀撑搭接扣件数量不够或搭接长度不到位的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12、立杆或水平杆的接头违反规范要求的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13、外架无横纵向扫地杆的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14、外架立杆上下不顺直变形的</w:t>
      </w:r>
      <w:r>
        <w:rPr>
          <w:rFonts w:hint="eastAsia" w:ascii="宋体" w:hAnsi="宋体"/>
          <w:color w:val="auto"/>
          <w:lang w:eastAsia="zh-CN"/>
        </w:rPr>
        <w:t>甲方有权收取违约金</w:t>
      </w:r>
      <w:r>
        <w:rPr>
          <w:rFonts w:hint="eastAsia" w:ascii="宋体" w:hAnsi="宋体"/>
          <w:color w:val="auto"/>
        </w:rPr>
        <w:t>200元/根。</w:t>
      </w:r>
    </w:p>
    <w:p>
      <w:pPr>
        <w:spacing w:line="360" w:lineRule="auto"/>
        <w:rPr>
          <w:rFonts w:ascii="宋体" w:hAnsi="宋体"/>
          <w:color w:val="auto"/>
        </w:rPr>
      </w:pPr>
      <w:r>
        <w:rPr>
          <w:rFonts w:hint="eastAsia" w:ascii="宋体" w:hAnsi="宋体"/>
          <w:color w:val="auto"/>
        </w:rPr>
        <w:t>15、上人马道通道板未设防滑条的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16、外架钢笆未满铺或四角绑扎不牢的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17、随意切割、破坏外架立杆的</w:t>
      </w:r>
      <w:r>
        <w:rPr>
          <w:rFonts w:hint="eastAsia" w:ascii="宋体" w:hAnsi="宋体"/>
          <w:color w:val="auto"/>
          <w:lang w:eastAsia="zh-CN"/>
        </w:rPr>
        <w:t>甲方有权收取违约金</w:t>
      </w:r>
      <w:r>
        <w:rPr>
          <w:rFonts w:hint="eastAsia" w:ascii="宋体" w:hAnsi="宋体"/>
          <w:color w:val="auto"/>
        </w:rPr>
        <w:t>200元/根。</w:t>
      </w:r>
    </w:p>
    <w:p>
      <w:pPr>
        <w:spacing w:line="360" w:lineRule="auto"/>
        <w:rPr>
          <w:rFonts w:ascii="宋体" w:hAnsi="宋体"/>
          <w:color w:val="auto"/>
        </w:rPr>
      </w:pPr>
      <w:r>
        <w:rPr>
          <w:rFonts w:hint="eastAsia" w:ascii="宋体" w:hAnsi="宋体"/>
          <w:color w:val="auto"/>
        </w:rPr>
        <w:t>18、外脚手架未按照规定设立20cm高的挡脚板扣500元/一步（施工层3步）。</w:t>
      </w:r>
    </w:p>
    <w:p>
      <w:pPr>
        <w:spacing w:line="360" w:lineRule="auto"/>
        <w:rPr>
          <w:rFonts w:ascii="宋体" w:hAnsi="宋体"/>
          <w:color w:val="auto"/>
        </w:rPr>
      </w:pPr>
      <w:r>
        <w:rPr>
          <w:rFonts w:hint="eastAsia" w:ascii="宋体" w:hAnsi="宋体"/>
          <w:color w:val="auto"/>
        </w:rPr>
        <w:t>19、移动脚手架未经验收使用的</w:t>
      </w:r>
      <w:r>
        <w:rPr>
          <w:rFonts w:hint="eastAsia" w:ascii="宋体" w:hAnsi="宋体"/>
          <w:color w:val="auto"/>
          <w:lang w:eastAsia="zh-CN"/>
        </w:rPr>
        <w:t>甲方有权收取违约金</w:t>
      </w:r>
      <w:r>
        <w:rPr>
          <w:rFonts w:hint="eastAsia" w:ascii="宋体" w:hAnsi="宋体"/>
          <w:color w:val="auto"/>
        </w:rPr>
        <w:t>200元。</w:t>
      </w:r>
    </w:p>
    <w:p>
      <w:pPr>
        <w:spacing w:line="360" w:lineRule="auto"/>
        <w:rPr>
          <w:rFonts w:ascii="宋体" w:hAnsi="宋体"/>
          <w:color w:val="auto"/>
        </w:rPr>
      </w:pPr>
      <w:r>
        <w:rPr>
          <w:rFonts w:hint="eastAsia" w:ascii="宋体" w:hAnsi="宋体"/>
          <w:color w:val="auto"/>
        </w:rPr>
        <w:t>20、组装式移动脚手架搭设完成后，无防倾斜措施的每处</w:t>
      </w:r>
      <w:r>
        <w:rPr>
          <w:rFonts w:hint="eastAsia" w:ascii="宋体" w:hAnsi="宋体"/>
          <w:color w:val="auto"/>
          <w:lang w:eastAsia="zh-CN"/>
        </w:rPr>
        <w:t>甲方有权收取违约金</w:t>
      </w:r>
      <w:r>
        <w:rPr>
          <w:rFonts w:hint="eastAsia" w:ascii="宋体" w:hAnsi="宋体"/>
          <w:color w:val="auto"/>
        </w:rPr>
        <w:t>200元。</w:t>
      </w:r>
    </w:p>
    <w:p>
      <w:pPr>
        <w:spacing w:line="360" w:lineRule="auto"/>
        <w:rPr>
          <w:rFonts w:ascii="宋体" w:hAnsi="宋体"/>
          <w:color w:val="auto"/>
        </w:rPr>
      </w:pPr>
      <w:r>
        <w:rPr>
          <w:rFonts w:hint="eastAsia" w:ascii="宋体" w:hAnsi="宋体"/>
          <w:color w:val="auto"/>
        </w:rPr>
        <w:t>21、移动式脚手架无防护栏杆的每处</w:t>
      </w:r>
      <w:r>
        <w:rPr>
          <w:rFonts w:hint="eastAsia" w:ascii="宋体" w:hAnsi="宋体"/>
          <w:color w:val="auto"/>
          <w:lang w:eastAsia="zh-CN"/>
        </w:rPr>
        <w:t>甲方有权收取违约金</w:t>
      </w:r>
      <w:r>
        <w:rPr>
          <w:rFonts w:hint="eastAsia" w:ascii="宋体" w:hAnsi="宋体"/>
          <w:color w:val="auto"/>
        </w:rPr>
        <w:t>200元。</w:t>
      </w:r>
    </w:p>
    <w:p>
      <w:pPr>
        <w:spacing w:line="360" w:lineRule="auto"/>
        <w:rPr>
          <w:rFonts w:ascii="宋体" w:hAnsi="宋体"/>
          <w:color w:val="auto"/>
        </w:rPr>
      </w:pPr>
      <w:r>
        <w:rPr>
          <w:rFonts w:hint="eastAsia" w:ascii="宋体" w:hAnsi="宋体"/>
          <w:color w:val="auto"/>
        </w:rPr>
        <w:t>22、支模架未按照方案要求搭设的，拒不整改的</w:t>
      </w:r>
      <w:r>
        <w:rPr>
          <w:rFonts w:hint="eastAsia" w:ascii="宋体" w:hAnsi="宋体"/>
          <w:color w:val="auto"/>
          <w:lang w:eastAsia="zh-CN"/>
        </w:rPr>
        <w:t>甲方有权收取违约金</w:t>
      </w:r>
      <w:r>
        <w:rPr>
          <w:rFonts w:hint="eastAsia" w:ascii="宋体" w:hAnsi="宋体"/>
          <w:color w:val="auto"/>
        </w:rPr>
        <w:t>500元一次。</w:t>
      </w:r>
    </w:p>
    <w:p>
      <w:pPr>
        <w:spacing w:line="360" w:lineRule="auto"/>
        <w:rPr>
          <w:rFonts w:ascii="宋体" w:hAnsi="宋体"/>
          <w:color w:val="auto"/>
        </w:rPr>
      </w:pPr>
      <w:r>
        <w:rPr>
          <w:rFonts w:hint="eastAsia" w:ascii="宋体" w:hAnsi="宋体"/>
          <w:color w:val="auto"/>
        </w:rPr>
        <w:t>（四）、大中小型机械设备规定：</w:t>
      </w:r>
    </w:p>
    <w:p>
      <w:pPr>
        <w:spacing w:line="360" w:lineRule="auto"/>
        <w:rPr>
          <w:rFonts w:ascii="宋体" w:hAnsi="宋体"/>
          <w:color w:val="auto"/>
        </w:rPr>
      </w:pPr>
      <w:r>
        <w:rPr>
          <w:rFonts w:hint="eastAsia" w:ascii="宋体" w:hAnsi="宋体"/>
          <w:color w:val="auto"/>
        </w:rPr>
        <w:t>1、塔吊、井架、物料提升机未进行防雷接地的</w:t>
      </w:r>
      <w:r>
        <w:rPr>
          <w:rFonts w:hint="eastAsia" w:ascii="宋体" w:hAnsi="宋体"/>
          <w:color w:val="auto"/>
          <w:lang w:eastAsia="zh-CN"/>
        </w:rPr>
        <w:t>甲方有权收取违约金</w:t>
      </w:r>
      <w:r>
        <w:rPr>
          <w:rFonts w:hint="eastAsia" w:ascii="宋体" w:hAnsi="宋体"/>
          <w:color w:val="auto"/>
        </w:rPr>
        <w:t>200元/台</w:t>
      </w:r>
    </w:p>
    <w:p>
      <w:pPr>
        <w:spacing w:line="360" w:lineRule="auto"/>
        <w:rPr>
          <w:rFonts w:ascii="宋体" w:hAnsi="宋体"/>
          <w:color w:val="auto"/>
        </w:rPr>
      </w:pPr>
      <w:r>
        <w:rPr>
          <w:rFonts w:hint="eastAsia" w:ascii="宋体" w:hAnsi="宋体"/>
          <w:color w:val="auto"/>
        </w:rPr>
        <w:t>2、其他施工机械设备、手持电动工具、灯具未进行保护接零的</w:t>
      </w:r>
      <w:r>
        <w:rPr>
          <w:rFonts w:hint="eastAsia" w:ascii="宋体" w:hAnsi="宋体"/>
          <w:color w:val="auto"/>
          <w:lang w:eastAsia="zh-CN"/>
        </w:rPr>
        <w:t>甲方有权收取违约金</w:t>
      </w:r>
      <w:r>
        <w:rPr>
          <w:rFonts w:hint="eastAsia" w:ascii="宋体" w:hAnsi="宋体"/>
          <w:color w:val="auto"/>
        </w:rPr>
        <w:t>200元/台。</w:t>
      </w:r>
    </w:p>
    <w:p>
      <w:pPr>
        <w:spacing w:line="360" w:lineRule="auto"/>
        <w:rPr>
          <w:rFonts w:ascii="宋体" w:hAnsi="宋体"/>
          <w:color w:val="auto"/>
        </w:rPr>
      </w:pPr>
      <w:r>
        <w:rPr>
          <w:rFonts w:hint="eastAsia" w:ascii="宋体" w:hAnsi="宋体"/>
          <w:color w:val="auto"/>
        </w:rPr>
        <w:t>3、施工设备、施工机具传动部位无安全防护罩的</w:t>
      </w:r>
      <w:r>
        <w:rPr>
          <w:rFonts w:hint="eastAsia" w:ascii="宋体" w:hAnsi="宋体"/>
          <w:color w:val="auto"/>
          <w:lang w:eastAsia="zh-CN"/>
        </w:rPr>
        <w:t>甲方有权收取违约金</w:t>
      </w:r>
      <w:r>
        <w:rPr>
          <w:rFonts w:hint="eastAsia" w:ascii="宋体" w:hAnsi="宋体"/>
          <w:color w:val="auto"/>
        </w:rPr>
        <w:t>200元/台。</w:t>
      </w:r>
    </w:p>
    <w:p>
      <w:pPr>
        <w:spacing w:line="360" w:lineRule="auto"/>
        <w:rPr>
          <w:rFonts w:ascii="宋体" w:hAnsi="宋体"/>
          <w:color w:val="auto"/>
        </w:rPr>
      </w:pPr>
      <w:r>
        <w:rPr>
          <w:rFonts w:hint="eastAsia" w:ascii="宋体" w:hAnsi="宋体"/>
          <w:color w:val="auto"/>
        </w:rPr>
        <w:t>4、电焊机一、二次线接线端子无防护档板的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5、电焊机无二次降压保护的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6、中、小型机械设备带病运转的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7、固定设备未采取接地保护的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8、无证操作塔吊、外用电梯、物料提升机的</w:t>
      </w:r>
      <w:r>
        <w:rPr>
          <w:rFonts w:hint="eastAsia" w:ascii="宋体" w:hAnsi="宋体"/>
          <w:color w:val="auto"/>
          <w:lang w:eastAsia="zh-CN"/>
        </w:rPr>
        <w:t>甲方有权收取违约金</w:t>
      </w:r>
      <w:r>
        <w:rPr>
          <w:rFonts w:hint="eastAsia" w:ascii="宋体" w:hAnsi="宋体"/>
          <w:color w:val="auto"/>
        </w:rPr>
        <w:t>500元/次。</w:t>
      </w:r>
    </w:p>
    <w:p>
      <w:pPr>
        <w:spacing w:line="360" w:lineRule="auto"/>
        <w:rPr>
          <w:rFonts w:ascii="宋体" w:hAnsi="宋体"/>
          <w:color w:val="auto"/>
        </w:rPr>
      </w:pPr>
      <w:r>
        <w:rPr>
          <w:rFonts w:hint="eastAsia" w:ascii="宋体" w:hAnsi="宋体"/>
          <w:color w:val="auto"/>
        </w:rPr>
        <w:t>9、塔吊、电梯、物料提升机各种极限限位损坏、失效未及时修复更换的200元/处。</w:t>
      </w:r>
    </w:p>
    <w:p>
      <w:pPr>
        <w:spacing w:line="360" w:lineRule="auto"/>
        <w:rPr>
          <w:rFonts w:ascii="宋体" w:hAnsi="宋体"/>
          <w:color w:val="auto"/>
        </w:rPr>
      </w:pPr>
      <w:r>
        <w:rPr>
          <w:rFonts w:hint="eastAsia" w:ascii="宋体" w:hAnsi="宋体"/>
          <w:color w:val="auto"/>
        </w:rPr>
        <w:t>10、电梯、物料提升机的附墙装置被擅自拆除的2000元/处。</w:t>
      </w:r>
    </w:p>
    <w:p>
      <w:pPr>
        <w:spacing w:line="360" w:lineRule="auto"/>
        <w:rPr>
          <w:rFonts w:ascii="宋体" w:hAnsi="宋体"/>
          <w:color w:val="auto"/>
        </w:rPr>
      </w:pPr>
      <w:r>
        <w:rPr>
          <w:rFonts w:hint="eastAsia" w:ascii="宋体" w:hAnsi="宋体"/>
          <w:color w:val="auto"/>
        </w:rPr>
        <w:t>（五）、临时用电规定</w:t>
      </w:r>
    </w:p>
    <w:p>
      <w:pPr>
        <w:spacing w:line="360" w:lineRule="auto"/>
        <w:rPr>
          <w:rFonts w:ascii="宋体" w:hAnsi="宋体"/>
          <w:color w:val="auto"/>
        </w:rPr>
      </w:pPr>
      <w:r>
        <w:rPr>
          <w:rFonts w:hint="eastAsia" w:ascii="宋体" w:hAnsi="宋体"/>
          <w:color w:val="auto"/>
        </w:rPr>
        <w:t>1、分配电箱、开关箱保护装置不符合规范要求或装置失灵的的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2、临时配电系统接线不规范的的200元/处。</w:t>
      </w:r>
    </w:p>
    <w:p>
      <w:pPr>
        <w:spacing w:line="360" w:lineRule="auto"/>
        <w:rPr>
          <w:rFonts w:ascii="宋体" w:hAnsi="宋体"/>
          <w:color w:val="auto"/>
        </w:rPr>
      </w:pPr>
      <w:r>
        <w:rPr>
          <w:rFonts w:hint="eastAsia" w:ascii="宋体" w:hAnsi="宋体"/>
          <w:color w:val="auto"/>
        </w:rPr>
        <w:t>3、违规使用护套线、电话线、塑料硬质线、塑料线、民用插线板的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4、固定设备电线未架空或敷设的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5、临时移动设备电线在潮湿环境或主通道口未采取架空措施的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6、设备未设专用开关箱的</w:t>
      </w:r>
      <w:r>
        <w:rPr>
          <w:rFonts w:hint="eastAsia" w:ascii="宋体" w:hAnsi="宋体"/>
          <w:color w:val="auto"/>
          <w:lang w:eastAsia="zh-CN"/>
        </w:rPr>
        <w:t>甲方有权收取违约金</w:t>
      </w:r>
      <w:r>
        <w:rPr>
          <w:rFonts w:hint="eastAsia" w:ascii="宋体" w:hAnsi="宋体"/>
          <w:color w:val="auto"/>
        </w:rPr>
        <w:t>200元/处；</w:t>
      </w:r>
    </w:p>
    <w:p>
      <w:pPr>
        <w:spacing w:line="360" w:lineRule="auto"/>
        <w:rPr>
          <w:rFonts w:ascii="宋体" w:hAnsi="宋体"/>
          <w:color w:val="auto"/>
        </w:rPr>
      </w:pPr>
      <w:r>
        <w:rPr>
          <w:rFonts w:hint="eastAsia" w:ascii="宋体" w:hAnsi="宋体"/>
          <w:color w:val="auto"/>
        </w:rPr>
        <w:t>7、开关箱保护装置与设备要求不匹配的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（六）、补充规定：</w:t>
      </w:r>
    </w:p>
    <w:p>
      <w:pPr>
        <w:spacing w:line="360" w:lineRule="auto"/>
        <w:rPr>
          <w:rFonts w:ascii="宋体" w:hAnsi="宋体"/>
          <w:color w:val="auto"/>
        </w:rPr>
      </w:pPr>
      <w:r>
        <w:rPr>
          <w:rFonts w:hint="eastAsia" w:ascii="宋体" w:hAnsi="宋体"/>
          <w:color w:val="auto"/>
        </w:rPr>
        <w:t>1、如未按总包要求在规定限期内上报各项安全资料的</w:t>
      </w:r>
      <w:r>
        <w:rPr>
          <w:rFonts w:hint="eastAsia" w:ascii="宋体" w:hAnsi="宋体"/>
          <w:color w:val="auto"/>
          <w:lang w:eastAsia="zh-CN"/>
        </w:rPr>
        <w:t>甲方有权收取违约金</w:t>
      </w:r>
      <w:r>
        <w:rPr>
          <w:rFonts w:hint="eastAsia" w:ascii="宋体" w:hAnsi="宋体"/>
          <w:color w:val="auto"/>
        </w:rPr>
        <w:t>200元/次；</w:t>
      </w:r>
    </w:p>
    <w:p>
      <w:pPr>
        <w:spacing w:line="360" w:lineRule="auto"/>
        <w:rPr>
          <w:rFonts w:ascii="宋体" w:hAnsi="宋体"/>
          <w:color w:val="auto"/>
        </w:rPr>
      </w:pPr>
      <w:r>
        <w:rPr>
          <w:rFonts w:hint="eastAsia" w:ascii="宋体" w:hAnsi="宋体"/>
          <w:color w:val="auto"/>
        </w:rPr>
        <w:t>2、混凝土强度未达到拆模允许值就擅自拆模的</w:t>
      </w:r>
      <w:r>
        <w:rPr>
          <w:rFonts w:hint="eastAsia" w:ascii="宋体" w:hAnsi="宋体"/>
          <w:color w:val="auto"/>
          <w:lang w:eastAsia="zh-CN"/>
        </w:rPr>
        <w:t>甲方有权收取违约金</w:t>
      </w:r>
      <w:r>
        <w:rPr>
          <w:rFonts w:hint="eastAsia" w:ascii="宋体" w:hAnsi="宋体"/>
          <w:color w:val="auto"/>
        </w:rPr>
        <w:t>2000元。</w:t>
      </w:r>
    </w:p>
    <w:p>
      <w:pPr>
        <w:spacing w:line="360" w:lineRule="auto"/>
        <w:rPr>
          <w:rFonts w:ascii="宋体" w:hAnsi="宋体"/>
          <w:color w:val="auto"/>
        </w:rPr>
      </w:pPr>
      <w:r>
        <w:rPr>
          <w:rFonts w:hint="eastAsia" w:ascii="宋体" w:hAnsi="宋体"/>
          <w:color w:val="auto"/>
        </w:rPr>
        <w:t>3、现场在建物内住人的</w:t>
      </w:r>
      <w:r>
        <w:rPr>
          <w:rFonts w:hint="eastAsia" w:ascii="宋体" w:hAnsi="宋体"/>
          <w:color w:val="auto"/>
          <w:lang w:eastAsia="zh-CN"/>
        </w:rPr>
        <w:t>甲方有权收取违约金</w:t>
      </w:r>
      <w:r>
        <w:rPr>
          <w:rFonts w:hint="eastAsia" w:ascii="宋体" w:hAnsi="宋体"/>
          <w:color w:val="auto"/>
        </w:rPr>
        <w:t>500元/人，携带小孩入住的</w:t>
      </w:r>
      <w:r>
        <w:rPr>
          <w:rFonts w:hint="eastAsia" w:ascii="宋体" w:hAnsi="宋体"/>
          <w:color w:val="auto"/>
          <w:lang w:eastAsia="zh-CN"/>
        </w:rPr>
        <w:t>甲方有权收取违约金</w:t>
      </w:r>
      <w:r>
        <w:rPr>
          <w:rFonts w:hint="eastAsia" w:ascii="宋体" w:hAnsi="宋体"/>
          <w:color w:val="auto"/>
        </w:rPr>
        <w:t>800元/人。</w:t>
      </w:r>
    </w:p>
    <w:p>
      <w:pPr>
        <w:spacing w:line="360" w:lineRule="auto"/>
        <w:rPr>
          <w:rFonts w:ascii="宋体" w:hAnsi="宋体"/>
          <w:color w:val="auto"/>
        </w:rPr>
      </w:pPr>
      <w:r>
        <w:rPr>
          <w:rFonts w:hint="eastAsia" w:ascii="宋体" w:hAnsi="宋体"/>
          <w:color w:val="auto"/>
        </w:rPr>
        <w:t>4、下达整改后不按期整改，又不回复的</w:t>
      </w:r>
      <w:r>
        <w:rPr>
          <w:rFonts w:hint="eastAsia" w:ascii="宋体" w:hAnsi="宋体"/>
          <w:color w:val="auto"/>
          <w:lang w:eastAsia="zh-CN"/>
        </w:rPr>
        <w:t>甲方有权收取违约金</w:t>
      </w:r>
      <w:r>
        <w:rPr>
          <w:rFonts w:hint="eastAsia" w:ascii="宋体" w:hAnsi="宋体"/>
          <w:color w:val="auto"/>
        </w:rPr>
        <w:t>500元/次；</w:t>
      </w:r>
    </w:p>
    <w:p>
      <w:pPr>
        <w:spacing w:line="360" w:lineRule="auto"/>
        <w:rPr>
          <w:rFonts w:ascii="宋体" w:hAnsi="宋体"/>
          <w:color w:val="auto"/>
        </w:rPr>
      </w:pPr>
      <w:r>
        <w:rPr>
          <w:rFonts w:hint="eastAsia" w:ascii="宋体" w:hAnsi="宋体"/>
          <w:color w:val="auto"/>
        </w:rPr>
        <w:t>5、分包专职安全员配置不到位或配置人数不满足要求的</w:t>
      </w:r>
      <w:r>
        <w:rPr>
          <w:rFonts w:hint="eastAsia" w:ascii="宋体" w:hAnsi="宋体"/>
          <w:color w:val="auto"/>
          <w:lang w:eastAsia="zh-CN"/>
        </w:rPr>
        <w:t>甲方有权收取违约金</w:t>
      </w:r>
      <w:r>
        <w:rPr>
          <w:rFonts w:hint="eastAsia" w:ascii="宋体" w:hAnsi="宋体"/>
          <w:color w:val="auto"/>
        </w:rPr>
        <w:t>6000元/月；</w:t>
      </w:r>
    </w:p>
    <w:p>
      <w:pPr>
        <w:spacing w:line="360" w:lineRule="auto"/>
        <w:rPr>
          <w:rFonts w:ascii="宋体" w:hAnsi="宋体"/>
          <w:color w:val="auto"/>
        </w:rPr>
      </w:pPr>
      <w:r>
        <w:rPr>
          <w:rFonts w:hint="eastAsia" w:ascii="宋体" w:hAnsi="宋体"/>
          <w:color w:val="auto"/>
        </w:rPr>
        <w:t>6、对于上级主管部门在检查过程中发现的隐患所产生的罚款项目将在原有的基础上给予分包单位3至5倍的</w:t>
      </w:r>
      <w:r>
        <w:rPr>
          <w:rFonts w:hint="eastAsia" w:ascii="宋体" w:hAnsi="宋体"/>
          <w:color w:val="auto"/>
          <w:lang w:eastAsia="zh-CN"/>
        </w:rPr>
        <w:t>甲方有权收取违约金</w:t>
      </w:r>
      <w:r>
        <w:rPr>
          <w:rFonts w:hint="eastAsia" w:ascii="宋体" w:hAnsi="宋体"/>
          <w:color w:val="auto"/>
        </w:rPr>
        <w:t>。</w:t>
      </w:r>
    </w:p>
    <w:p>
      <w:pPr>
        <w:spacing w:line="360" w:lineRule="auto"/>
        <w:rPr>
          <w:rFonts w:ascii="宋体" w:hAnsi="宋体"/>
          <w:color w:val="auto"/>
        </w:rPr>
      </w:pPr>
      <w:r>
        <w:rPr>
          <w:rFonts w:hint="eastAsia" w:ascii="宋体" w:hAnsi="宋体"/>
          <w:color w:val="auto"/>
        </w:rPr>
        <w:t>7、本安全生产管理及文明施工</w:t>
      </w:r>
      <w:r>
        <w:rPr>
          <w:rFonts w:hint="eastAsia" w:ascii="宋体" w:hAnsi="宋体"/>
          <w:color w:val="auto"/>
          <w:lang w:eastAsia="zh-CN"/>
        </w:rPr>
        <w:t>甲方有权收取违约金</w:t>
      </w:r>
      <w:r>
        <w:rPr>
          <w:rFonts w:hint="eastAsia" w:ascii="宋体" w:hAnsi="宋体"/>
          <w:color w:val="auto"/>
        </w:rPr>
        <w:t>细则规定包括但不仅限于以上各项，如发现以上条款没有明确规定的不安全、不文明行为或现象视情况而定，给予200元以上5000元以下的</w:t>
      </w:r>
      <w:r>
        <w:rPr>
          <w:rFonts w:hint="eastAsia" w:ascii="宋体" w:hAnsi="宋体"/>
          <w:color w:val="auto"/>
          <w:lang w:eastAsia="zh-CN"/>
        </w:rPr>
        <w:t>甲方有权收取违约金</w:t>
      </w:r>
      <w:r>
        <w:rPr>
          <w:rFonts w:hint="eastAsia" w:ascii="宋体" w:hAnsi="宋体"/>
          <w:color w:val="auto"/>
        </w:rPr>
        <w:t>，项目部将根据实际情况具体实施。</w:t>
      </w:r>
    </w:p>
    <w:p>
      <w:pPr>
        <w:spacing w:line="360" w:lineRule="auto"/>
        <w:rPr>
          <w:rFonts w:ascii="宋体" w:hAnsi="宋体"/>
          <w:color w:val="auto"/>
        </w:rPr>
      </w:pPr>
      <w:r>
        <w:rPr>
          <w:rFonts w:hint="eastAsia" w:ascii="宋体" w:hAnsi="宋体"/>
          <w:color w:val="auto"/>
        </w:rPr>
        <w:t>8、对于施工队现场发生的安全事故，不论大小以及后果的严重程度，项目部有权对施工队的安全管理行为造成的后果进行一定的经济</w:t>
      </w:r>
      <w:r>
        <w:rPr>
          <w:rFonts w:hint="eastAsia" w:ascii="宋体" w:hAnsi="宋体"/>
          <w:color w:val="auto"/>
          <w:lang w:eastAsia="zh-CN"/>
        </w:rPr>
        <w:t>甲方有权收取违约金</w:t>
      </w:r>
      <w:r>
        <w:rPr>
          <w:rFonts w:hint="eastAsia" w:ascii="宋体" w:hAnsi="宋体"/>
          <w:color w:val="auto"/>
        </w:rPr>
        <w:t>及其他处理办法，具体额度由项目部根据实际情况实施。</w:t>
      </w:r>
    </w:p>
    <w:p>
      <w:pPr>
        <w:spacing w:line="360" w:lineRule="auto"/>
        <w:rPr>
          <w:rFonts w:ascii="宋体" w:hAnsi="宋体"/>
          <w:color w:val="auto"/>
        </w:rPr>
      </w:pPr>
      <w:r>
        <w:rPr>
          <w:rFonts w:hint="eastAsia" w:ascii="宋体" w:hAnsi="宋体"/>
          <w:color w:val="auto"/>
        </w:rPr>
        <w:t>注：以上</w:t>
      </w:r>
      <w:r>
        <w:rPr>
          <w:rFonts w:hint="eastAsia" w:ascii="宋体" w:hAnsi="宋体"/>
          <w:color w:val="auto"/>
          <w:lang w:eastAsia="zh-CN"/>
        </w:rPr>
        <w:t>甲方有权收取违约金</w:t>
      </w:r>
      <w:r>
        <w:rPr>
          <w:rFonts w:hint="eastAsia" w:ascii="宋体" w:hAnsi="宋体"/>
          <w:color w:val="auto"/>
        </w:rPr>
        <w:t>细则，各施工队必须遵守，项目部将以照片或整改通知单证明，所</w:t>
      </w:r>
      <w:r>
        <w:rPr>
          <w:rFonts w:hint="eastAsia" w:ascii="宋体" w:hAnsi="宋体"/>
          <w:color w:val="auto"/>
          <w:lang w:eastAsia="zh-CN"/>
        </w:rPr>
        <w:t>甲方有权收取违约金</w:t>
      </w:r>
      <w:r>
        <w:rPr>
          <w:rFonts w:hint="eastAsia" w:ascii="宋体" w:hAnsi="宋体"/>
          <w:color w:val="auto"/>
        </w:rPr>
        <w:t>项将直接从施工队当月的工程款中直接予以扣除。本奖罚办法的解释权归项目部，本奖罚办法自201</w:t>
      </w:r>
      <w:r>
        <w:rPr>
          <w:rFonts w:hint="eastAsia" w:ascii="宋体" w:hAnsi="宋体"/>
          <w:color w:val="auto"/>
          <w:lang w:val="en-US" w:eastAsia="zh-CN"/>
        </w:rPr>
        <w:t>9</w:t>
      </w:r>
      <w:r>
        <w:rPr>
          <w:rFonts w:hint="eastAsia" w:ascii="宋体" w:hAnsi="宋体"/>
          <w:color w:val="auto"/>
        </w:rPr>
        <w:t>年</w:t>
      </w:r>
      <w:r>
        <w:rPr>
          <w:rFonts w:hint="eastAsia" w:ascii="宋体" w:hAnsi="宋体"/>
          <w:color w:val="auto"/>
          <w:lang w:val="en-US" w:eastAsia="zh-CN"/>
        </w:rPr>
        <w:t>3</w:t>
      </w:r>
      <w:r>
        <w:rPr>
          <w:rFonts w:hint="eastAsia" w:ascii="宋体" w:hAnsi="宋体"/>
          <w:color w:val="auto"/>
        </w:rPr>
        <w:t>月1日起执行。</w:t>
      </w:r>
    </w:p>
    <w:p>
      <w:pPr>
        <w:spacing w:line="360" w:lineRule="auto"/>
        <w:rPr>
          <w:rFonts w:ascii="宋体" w:hAnsi="宋体"/>
          <w:color w:val="auto"/>
        </w:rPr>
      </w:pPr>
    </w:p>
    <w:p>
      <w:pPr>
        <w:spacing w:line="360" w:lineRule="auto"/>
        <w:rPr>
          <w:rFonts w:ascii="宋体" w:hAnsi="宋体"/>
          <w:color w:val="auto"/>
        </w:rPr>
      </w:pPr>
    </w:p>
    <w:p>
      <w:pPr>
        <w:spacing w:line="360" w:lineRule="auto"/>
        <w:rPr>
          <w:rFonts w:hint="eastAsia" w:ascii="宋体" w:hAnsi="宋体"/>
          <w:color w:val="auto"/>
          <w:lang w:val="en-US" w:eastAsia="zh-CN"/>
        </w:rPr>
      </w:pP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中国建筑第二工程局有限公司</w:t>
      </w:r>
      <w:r>
        <w:rPr>
          <w:rFonts w:hint="eastAsia" w:ascii="宋体" w:hAnsi="宋体"/>
          <w:color w:val="auto"/>
          <w:lang w:val="en-US" w:eastAsia="zh-CN"/>
        </w:rPr>
        <w:t xml:space="preserve"> </w:t>
      </w:r>
    </w:p>
    <w:p>
      <w:pPr>
        <w:spacing w:line="360" w:lineRule="auto"/>
        <w:rPr>
          <w:rFonts w:ascii="宋体" w:hAnsi="宋体"/>
          <w:color w:val="auto"/>
        </w:rPr>
      </w:pPr>
      <w:r>
        <w:rPr>
          <w:rFonts w:hint="eastAsia" w:ascii="宋体" w:hAnsi="宋体"/>
          <w:color w:val="auto"/>
        </w:rPr>
        <w:t xml:space="preserve">                       </w:t>
      </w:r>
      <w:r>
        <w:rPr>
          <w:rFonts w:hint="eastAsia" w:ascii="宋体" w:hAnsi="宋体"/>
          <w:color w:val="auto"/>
          <w:lang w:val="en-US" w:eastAsia="zh-CN"/>
        </w:rPr>
        <w:t xml:space="preserve">                     碧桂映象北城一期项目总承包工程</w:t>
      </w:r>
    </w:p>
    <w:p>
      <w:pPr>
        <w:spacing w:line="220" w:lineRule="atLeast"/>
        <w:rPr>
          <w:color w:val="auto"/>
        </w:rPr>
      </w:pP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widowControl/>
        <w:jc w:val="left"/>
        <w:rPr>
          <w:rFonts w:ascii="宋体" w:hAnsi="宋体"/>
          <w:b/>
          <w:bCs/>
          <w:color w:val="auto"/>
          <w:sz w:val="44"/>
          <w:szCs w:val="44"/>
        </w:rPr>
      </w:pPr>
    </w:p>
    <w:p>
      <w:pPr>
        <w:jc w:val="center"/>
        <w:rPr>
          <w:rFonts w:ascii="黑体" w:eastAsia="黑体"/>
          <w:b/>
          <w:color w:val="auto"/>
          <w:sz w:val="36"/>
          <w:szCs w:val="36"/>
        </w:rPr>
      </w:pPr>
      <w:r>
        <w:rPr>
          <w:rFonts w:hint="eastAsia" w:ascii="黑体" w:eastAsia="黑体"/>
          <w:b/>
          <w:color w:val="auto"/>
          <w:sz w:val="36"/>
          <w:szCs w:val="36"/>
          <w:lang w:eastAsia="zh-CN"/>
        </w:rPr>
        <w:t>中国建筑第二工程局有限</w:t>
      </w:r>
      <w:r>
        <w:rPr>
          <w:rFonts w:hint="eastAsia" w:ascii="黑体" w:eastAsia="黑体"/>
          <w:b/>
          <w:color w:val="auto"/>
          <w:sz w:val="36"/>
          <w:szCs w:val="36"/>
        </w:rPr>
        <w:t>公司工程项目廉洁协议书</w:t>
      </w:r>
    </w:p>
    <w:p>
      <w:pPr>
        <w:jc w:val="left"/>
        <w:rPr>
          <w:rFonts w:ascii="宋体" w:hAnsi="宋体" w:cs="宋体"/>
          <w:b/>
          <w:color w:val="auto"/>
          <w:szCs w:val="21"/>
        </w:rPr>
      </w:pPr>
    </w:p>
    <w:p>
      <w:pPr>
        <w:spacing w:line="360" w:lineRule="auto"/>
        <w:jc w:val="left"/>
        <w:rPr>
          <w:rFonts w:ascii="宋体" w:hAnsi="宋体" w:cs="宋体"/>
          <w:b/>
          <w:bCs/>
          <w:color w:val="auto"/>
          <w:sz w:val="21"/>
          <w:szCs w:val="21"/>
          <w:u w:val="single"/>
        </w:rPr>
      </w:pPr>
      <w:r>
        <w:rPr>
          <w:rFonts w:hint="eastAsia" w:ascii="宋体" w:hAnsi="宋体" w:cs="宋体"/>
          <w:b/>
          <w:color w:val="auto"/>
          <w:sz w:val="21"/>
          <w:szCs w:val="21"/>
        </w:rPr>
        <w:t>甲方：</w:t>
      </w:r>
      <w:r>
        <w:rPr>
          <w:rFonts w:hint="eastAsia" w:ascii="宋体" w:hAnsi="宋体" w:cs="宋体"/>
          <w:b/>
          <w:bCs/>
          <w:color w:val="auto"/>
          <w:sz w:val="21"/>
          <w:szCs w:val="21"/>
          <w:u w:val="single"/>
        </w:rPr>
        <w:t>中国建筑第二工程局有限公司</w:t>
      </w:r>
    </w:p>
    <w:p>
      <w:pPr>
        <w:spacing w:line="360" w:lineRule="auto"/>
        <w:jc w:val="left"/>
        <w:rPr>
          <w:rFonts w:hint="eastAsia" w:ascii="宋体" w:hAnsi="宋体"/>
          <w:b/>
          <w:u w:val="single"/>
          <w:lang w:val="en-US" w:eastAsia="zh-CN"/>
        </w:rPr>
      </w:pPr>
      <w:r>
        <w:rPr>
          <w:rFonts w:hint="eastAsia" w:ascii="宋体" w:hAnsi="宋体" w:cs="宋体"/>
          <w:b/>
          <w:color w:val="auto"/>
          <w:sz w:val="21"/>
          <w:szCs w:val="21"/>
        </w:rPr>
        <w:t>乙方：</w:t>
      </w:r>
      <w:r>
        <w:rPr>
          <w:rFonts w:hint="eastAsia" w:ascii="宋体" w:hAnsi="宋体"/>
          <w:b/>
          <w:u w:val="single"/>
          <w:lang w:val="en-US" w:eastAsia="zh-CN"/>
        </w:rPr>
        <w:t xml:space="preserve">                         </w:t>
      </w:r>
    </w:p>
    <w:p>
      <w:pPr>
        <w:spacing w:line="360" w:lineRule="auto"/>
        <w:jc w:val="left"/>
        <w:rPr>
          <w:rFonts w:ascii="宋体" w:hAnsi="宋体" w:cs="宋体"/>
          <w:color w:val="auto"/>
          <w:sz w:val="21"/>
          <w:szCs w:val="21"/>
        </w:rPr>
      </w:pPr>
      <w:r>
        <w:rPr>
          <w:rFonts w:hint="eastAsia" w:ascii="宋体" w:hAnsi="宋体" w:cs="宋体"/>
          <w:color w:val="auto"/>
          <w:sz w:val="21"/>
          <w:szCs w:val="21"/>
        </w:rPr>
        <w:t xml:space="preserve">    为切实加强</w:t>
      </w:r>
      <w:r>
        <w:rPr>
          <w:rFonts w:hint="eastAsia" w:ascii="宋体" w:hAnsi="宋体" w:cs="宋体"/>
          <w:color w:val="auto"/>
          <w:sz w:val="21"/>
          <w:szCs w:val="21"/>
          <w:u w:val="single"/>
          <w:lang w:eastAsia="zh-CN"/>
        </w:rPr>
        <w:t>中国建筑第二工程局有限公司</w:t>
      </w:r>
      <w:r>
        <w:rPr>
          <w:rFonts w:hint="eastAsia" w:ascii="宋体" w:hAnsi="宋体"/>
          <w:color w:val="auto"/>
          <w:lang w:val="en-US" w:eastAsia="zh-CN"/>
        </w:rPr>
        <w:t xml:space="preserve"> 碧桂映象北城一期项目总承包工程</w:t>
      </w:r>
      <w:r>
        <w:rPr>
          <w:rFonts w:hint="eastAsia" w:ascii="宋体" w:hAnsi="宋体" w:cs="宋体"/>
          <w:color w:val="auto"/>
          <w:sz w:val="21"/>
          <w:szCs w:val="21"/>
        </w:rPr>
        <w:t>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numPr>
          <w:ilvl w:val="0"/>
          <w:numId w:val="2"/>
        </w:numPr>
        <w:spacing w:line="360" w:lineRule="auto"/>
        <w:jc w:val="left"/>
        <w:rPr>
          <w:rFonts w:ascii="宋体" w:hAnsi="宋体" w:cs="宋体"/>
          <w:b/>
          <w:color w:val="auto"/>
          <w:sz w:val="21"/>
          <w:szCs w:val="21"/>
        </w:rPr>
      </w:pPr>
      <w:r>
        <w:rPr>
          <w:rFonts w:hint="eastAsia" w:ascii="宋体" w:hAnsi="宋体" w:cs="宋体"/>
          <w:b/>
          <w:color w:val="auto"/>
          <w:sz w:val="21"/>
          <w:szCs w:val="21"/>
        </w:rPr>
        <w:t>甲乙双方的权力和义务</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1、严格遵守党和国家的有关法律法规及地方纪检监察机构的有关规定。</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2、严格执行甲乙双方签订的合同文件，认真履行合同条款。</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3、双方的业务活动坚持公开、公正、诚信、透明原则（除商业秘密和合同文件另有规定之外），不得损害国家和双方的利益，不得违反工程建设管理规章制度，不得违反甲方的各项管理制度。</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4、甲乙双方应建立健全廉洁制度，适时开展廉洁从业专项教育，设立廉洁告示牌，公布举报电话，监督双方从业行为，对违法违纪行为和人员坚决予以查处。</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5、发现对方在业务活动中有违反廉洁规定的行为，有及时提醒纠正对方的权力和义务。</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6、发现对方严重违反本协议条款的行为，有权向其单位和领导举报、建议给予处理和要求告知处理结果的权利；同时也有向其上级有关部门举报、建议给予处理和要求告知处理结果的权力。</w:t>
      </w:r>
    </w:p>
    <w:p>
      <w:pPr>
        <w:spacing w:line="360" w:lineRule="auto"/>
        <w:ind w:firstLine="422" w:firstLineChars="200"/>
        <w:jc w:val="left"/>
        <w:rPr>
          <w:rFonts w:ascii="宋体" w:hAnsi="宋体" w:cs="宋体"/>
          <w:b/>
          <w:color w:val="auto"/>
          <w:sz w:val="21"/>
          <w:szCs w:val="21"/>
        </w:rPr>
      </w:pPr>
      <w:r>
        <w:rPr>
          <w:rFonts w:hint="eastAsia" w:ascii="宋体" w:hAnsi="宋体" w:cs="宋体"/>
          <w:b/>
          <w:color w:val="auto"/>
          <w:sz w:val="21"/>
          <w:szCs w:val="21"/>
        </w:rPr>
        <w:t>第二条、甲方的义务</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2、甲方单位工作人员不得参加乙方安排的宴请和娱乐活动；不得接受乙方提供的通讯工具、交通工具和高档办公用品。</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3、甲方工作人员不得要求或接受乙方为其住房装修、婚丧嫁娶活动、配偶子女的工作安排以及出国出境、旅游等提供方便。</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4、甲方单位工作人员的配偶、子女不得从事与甲方工程有关的物资</w:t>
      </w:r>
      <w:r>
        <w:rPr>
          <w:rFonts w:hint="eastAsia" w:ascii="宋体" w:hAnsi="宋体" w:cs="宋体"/>
          <w:color w:val="auto"/>
          <w:sz w:val="21"/>
          <w:szCs w:val="21"/>
          <w:lang w:eastAsia="zh-CN"/>
        </w:rPr>
        <w:t>处理</w:t>
      </w:r>
      <w:r>
        <w:rPr>
          <w:rFonts w:hint="eastAsia" w:ascii="宋体" w:hAnsi="宋体" w:cs="宋体"/>
          <w:color w:val="auto"/>
          <w:sz w:val="21"/>
          <w:szCs w:val="21"/>
        </w:rPr>
        <w:t>、设备供应、工程分包、劳务分包等经济活动。</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5、甲方单位及其工作人员不得以任何理由向乙方推荐分包单位，不得强行要求乙方购买其所推荐的材料和设备。</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6、甲方接到乙方举报其工作人员违反廉政规定的，甲方应及时进行调查，根据调查情况进行处理。</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7、甲方人员如违反廉政管理制度及本协议规定的，需方应视情节轻重、影响大小给予相应处罚。</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8、甲方应公布举报电话、在显著位置设置举报箱，并受理各种举报。</w:t>
      </w:r>
    </w:p>
    <w:p>
      <w:pPr>
        <w:spacing w:line="360" w:lineRule="auto"/>
        <w:ind w:firstLine="422" w:firstLineChars="200"/>
        <w:jc w:val="left"/>
        <w:rPr>
          <w:rFonts w:ascii="宋体" w:hAnsi="宋体" w:cs="宋体"/>
          <w:b/>
          <w:color w:val="auto"/>
          <w:sz w:val="21"/>
          <w:szCs w:val="21"/>
        </w:rPr>
      </w:pPr>
      <w:r>
        <w:rPr>
          <w:rFonts w:hint="eastAsia" w:ascii="宋体" w:hAnsi="宋体" w:cs="宋体"/>
          <w:b/>
          <w:color w:val="auto"/>
          <w:sz w:val="21"/>
          <w:szCs w:val="21"/>
        </w:rPr>
        <w:t>第三条、乙方义务</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1、乙方应了解甲方单位有关廉政管理的各项制度及本协议的规定，并遵照执行。甲方有提供有关制度并如实告知的义务。</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2、乙方有义务接受甲方廉政管理执行情况的监督。</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3、乙方不得以任何理由向甲方工作人员行贿或馈赠礼金、有价证卷、贵重礼品等。</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4、乙方不得以任何名义为甲方工作人员报销应由甲方单位或个人支付的任何费用。</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5、乙方不得以任何理由安排甲方人员参加宴请及娱乐活动。</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6、乙方不得以任何理由为甲方工作人员住房装修、婚丧嫁娶、配偶子女工作安排以及出国出境、旅游等提供方便。</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7、乙方不得为甲方单位和个人购置或提供通讯工具、交通工具和高档办公用品等。</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8、如因乙方或乙方人员贿赂甲方人员，被检查机关立案查处的，甲方有权取消或终止双方所签合同的履行。</w:t>
      </w:r>
    </w:p>
    <w:p>
      <w:pPr>
        <w:spacing w:line="360" w:lineRule="auto"/>
        <w:ind w:firstLine="422" w:firstLineChars="200"/>
        <w:jc w:val="left"/>
        <w:rPr>
          <w:rFonts w:ascii="宋体" w:hAnsi="宋体" w:cs="宋体"/>
          <w:b/>
          <w:color w:val="auto"/>
          <w:sz w:val="21"/>
          <w:szCs w:val="21"/>
        </w:rPr>
      </w:pPr>
      <w:r>
        <w:rPr>
          <w:rFonts w:hint="eastAsia" w:ascii="宋体" w:hAnsi="宋体" w:cs="宋体"/>
          <w:b/>
          <w:color w:val="auto"/>
          <w:sz w:val="21"/>
          <w:szCs w:val="21"/>
        </w:rPr>
        <w:t>第四条、违约责任</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1、甲方单位及其工作人员违反本合同第一、二条之规定的，按管理权限，由甲方依据有关规定对当事人给予党纪、政纪或组织处分，涉嫌犯罪的移送司法机关处理。</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spacing w:line="360" w:lineRule="auto"/>
        <w:ind w:firstLine="422" w:firstLineChars="200"/>
        <w:jc w:val="left"/>
        <w:rPr>
          <w:rFonts w:ascii="宋体" w:hAnsi="宋体" w:cs="宋体"/>
          <w:color w:val="auto"/>
          <w:sz w:val="21"/>
          <w:szCs w:val="21"/>
        </w:rPr>
      </w:pPr>
      <w:r>
        <w:rPr>
          <w:rFonts w:hint="eastAsia" w:ascii="宋体" w:hAnsi="宋体" w:cs="宋体"/>
          <w:b/>
          <w:bCs/>
          <w:color w:val="auto"/>
          <w:sz w:val="21"/>
          <w:szCs w:val="21"/>
        </w:rPr>
        <w:t>第五条、</w:t>
      </w:r>
      <w:r>
        <w:rPr>
          <w:rFonts w:hint="eastAsia" w:ascii="宋体" w:hAnsi="宋体" w:cs="宋体"/>
          <w:color w:val="auto"/>
          <w:sz w:val="21"/>
          <w:szCs w:val="21"/>
        </w:rPr>
        <w:t>本协议自双方签字之日起生效，双方应严格执行。</w:t>
      </w:r>
    </w:p>
    <w:p>
      <w:pPr>
        <w:spacing w:line="360" w:lineRule="auto"/>
        <w:ind w:firstLine="422" w:firstLineChars="200"/>
        <w:jc w:val="left"/>
        <w:rPr>
          <w:rFonts w:ascii="宋体" w:hAnsi="宋体" w:cs="宋体"/>
          <w:color w:val="auto"/>
          <w:sz w:val="21"/>
          <w:szCs w:val="21"/>
        </w:rPr>
      </w:pPr>
      <w:r>
        <w:rPr>
          <w:rFonts w:hint="eastAsia" w:ascii="宋体" w:hAnsi="宋体" w:cs="宋体"/>
          <w:b/>
          <w:bCs/>
          <w:color w:val="auto"/>
          <w:sz w:val="21"/>
          <w:szCs w:val="21"/>
        </w:rPr>
        <w:t>第六条、</w:t>
      </w:r>
      <w:r>
        <w:rPr>
          <w:rFonts w:hint="eastAsia" w:ascii="宋体" w:hAnsi="宋体" w:cs="宋体"/>
          <w:color w:val="auto"/>
          <w:sz w:val="21"/>
          <w:szCs w:val="21"/>
        </w:rPr>
        <w:t>本协议有效期与甲、乙双方签订的经济合同有效期相同。</w:t>
      </w:r>
    </w:p>
    <w:p>
      <w:pPr>
        <w:spacing w:line="360" w:lineRule="auto"/>
        <w:ind w:firstLine="422" w:firstLineChars="200"/>
        <w:jc w:val="left"/>
        <w:rPr>
          <w:rFonts w:ascii="宋体" w:hAnsi="宋体" w:cs="宋体"/>
          <w:color w:val="auto"/>
          <w:sz w:val="21"/>
          <w:szCs w:val="21"/>
        </w:rPr>
      </w:pPr>
      <w:r>
        <w:rPr>
          <w:rFonts w:hint="eastAsia" w:ascii="宋体" w:hAnsi="宋体" w:cs="宋体"/>
          <w:b/>
          <w:bCs/>
          <w:color w:val="auto"/>
          <w:sz w:val="21"/>
          <w:szCs w:val="21"/>
        </w:rPr>
        <w:t>第七条、</w:t>
      </w:r>
      <w:r>
        <w:rPr>
          <w:rFonts w:hint="eastAsia" w:ascii="宋体" w:hAnsi="宋体" w:cs="宋体"/>
          <w:bCs/>
          <w:color w:val="auto"/>
          <w:sz w:val="21"/>
          <w:szCs w:val="21"/>
        </w:rPr>
        <w:t>甲方监督部门:中</w:t>
      </w:r>
      <w:r>
        <w:rPr>
          <w:rFonts w:hint="eastAsia" w:ascii="宋体" w:hAnsi="宋体" w:cs="宋体"/>
          <w:color w:val="auto"/>
          <w:sz w:val="21"/>
          <w:szCs w:val="21"/>
        </w:rPr>
        <w:t xml:space="preserve">建二局西南分公司纪检监察部      </w:t>
      </w:r>
    </w:p>
    <w:p>
      <w:pPr>
        <w:spacing w:line="360" w:lineRule="auto"/>
        <w:ind w:firstLine="210" w:firstLineChars="100"/>
        <w:jc w:val="left"/>
        <w:rPr>
          <w:rFonts w:ascii="宋体" w:hAnsi="宋体" w:cs="宋体"/>
          <w:color w:val="auto"/>
          <w:sz w:val="21"/>
          <w:szCs w:val="21"/>
        </w:rPr>
      </w:pPr>
      <w:r>
        <w:rPr>
          <w:rFonts w:hint="eastAsia" w:ascii="宋体" w:hAnsi="宋体" w:cs="宋体"/>
          <w:color w:val="auto"/>
          <w:sz w:val="21"/>
          <w:szCs w:val="21"/>
        </w:rPr>
        <w:t xml:space="preserve"> 地址:重庆市江北区江北嘴西大街金融中心A座5楼。</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电话:023-88924122   023-88924192   023-88924193</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邮箱:jijianjianchabu@sina.cn</w:t>
      </w:r>
    </w:p>
    <w:p>
      <w:pPr>
        <w:spacing w:line="360" w:lineRule="auto"/>
        <w:ind w:firstLine="422" w:firstLineChars="200"/>
        <w:jc w:val="left"/>
        <w:rPr>
          <w:rFonts w:ascii="宋体" w:hAnsi="宋体" w:cs="宋体"/>
          <w:color w:val="auto"/>
          <w:sz w:val="21"/>
          <w:szCs w:val="21"/>
        </w:rPr>
      </w:pPr>
      <w:r>
        <w:rPr>
          <w:rFonts w:hint="eastAsia" w:ascii="宋体" w:hAnsi="宋体" w:cs="宋体"/>
          <w:b/>
          <w:bCs/>
          <w:color w:val="auto"/>
          <w:sz w:val="21"/>
          <w:szCs w:val="21"/>
        </w:rPr>
        <w:t>第八条、</w:t>
      </w:r>
      <w:r>
        <w:rPr>
          <w:rFonts w:hint="eastAsia" w:ascii="宋体" w:hAnsi="宋体" w:cs="宋体"/>
          <w:color w:val="auto"/>
          <w:sz w:val="21"/>
          <w:szCs w:val="21"/>
        </w:rPr>
        <w:t>本协议一式三份，分公司纪委、甲、乙各持一份。</w:t>
      </w:r>
    </w:p>
    <w:p>
      <w:pPr>
        <w:spacing w:line="360" w:lineRule="auto"/>
        <w:ind w:firstLine="420" w:firstLineChars="200"/>
        <w:jc w:val="left"/>
        <w:rPr>
          <w:rFonts w:ascii="宋体" w:hAnsi="宋体" w:cs="宋体"/>
          <w:color w:val="auto"/>
          <w:sz w:val="21"/>
          <w:szCs w:val="21"/>
        </w:rPr>
      </w:pPr>
    </w:p>
    <w:p>
      <w:pPr>
        <w:spacing w:line="360" w:lineRule="auto"/>
        <w:ind w:firstLine="420" w:firstLineChars="200"/>
        <w:jc w:val="left"/>
        <w:rPr>
          <w:rFonts w:ascii="宋体" w:hAnsi="宋体" w:cs="宋体"/>
          <w:color w:val="auto"/>
          <w:sz w:val="21"/>
          <w:szCs w:val="21"/>
        </w:rPr>
      </w:pP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甲方（盖章）  ：                   乙方（盖章）：</w:t>
      </w:r>
    </w:p>
    <w:p>
      <w:pPr>
        <w:spacing w:line="360" w:lineRule="auto"/>
        <w:ind w:firstLine="420" w:firstLineChars="200"/>
        <w:jc w:val="left"/>
        <w:rPr>
          <w:rFonts w:ascii="宋体" w:hAnsi="宋体" w:cs="宋体"/>
          <w:color w:val="auto"/>
          <w:sz w:val="21"/>
          <w:szCs w:val="21"/>
        </w:rPr>
      </w:pP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甲方代表人：                       乙方代表人：</w:t>
      </w:r>
    </w:p>
    <w:p>
      <w:pPr>
        <w:spacing w:line="360" w:lineRule="auto"/>
        <w:ind w:firstLine="420" w:firstLineChars="200"/>
        <w:jc w:val="left"/>
        <w:rPr>
          <w:rFonts w:ascii="宋体" w:hAnsi="宋体" w:cs="宋体"/>
          <w:color w:val="auto"/>
          <w:sz w:val="21"/>
          <w:szCs w:val="21"/>
        </w:rPr>
      </w:pP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联系电话：                          联系电话：</w:t>
      </w:r>
    </w:p>
    <w:p>
      <w:pPr>
        <w:spacing w:line="360" w:lineRule="auto"/>
        <w:ind w:firstLine="420" w:firstLineChars="200"/>
        <w:jc w:val="left"/>
        <w:rPr>
          <w:rFonts w:ascii="宋体" w:hAnsi="宋体" w:cs="宋体"/>
          <w:color w:val="auto"/>
          <w:sz w:val="21"/>
          <w:szCs w:val="21"/>
        </w:rPr>
      </w:pPr>
    </w:p>
    <w:p>
      <w:pPr>
        <w:spacing w:line="360" w:lineRule="auto"/>
        <w:rPr>
          <w:rFonts w:ascii="黑体" w:hAnsi="黑体" w:eastAsia="黑体" w:cs="宋体"/>
          <w:sz w:val="24"/>
        </w:rPr>
      </w:pPr>
      <w:r>
        <w:rPr>
          <w:rFonts w:hint="eastAsia" w:ascii="宋体" w:hAnsi="宋体" w:cs="宋体"/>
          <w:color w:val="auto"/>
          <w:sz w:val="21"/>
          <w:szCs w:val="21"/>
        </w:rPr>
        <w:t xml:space="preserve">   年   月   日                         年   月 </w:t>
      </w:r>
      <w:r>
        <w:rPr>
          <w:rFonts w:hint="eastAsia" w:ascii="华文细黑" w:hAnsi="华文细黑" w:eastAsia="华文细黑" w:cs="华文细黑"/>
          <w:sz w:val="24"/>
        </w:rPr>
        <w:t xml:space="preserve"> </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eastAsia="zh-CN"/>
      </w:rPr>
    </w:pPr>
    <w: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val="en-US" w:eastAsia="zh-CN"/>
      </w:rPr>
      <w:t xml:space="preserve">         碧桂映象北城一期项目总承包工程       电线电缆</w:t>
    </w:r>
    <w:r>
      <w:rPr>
        <w:rFonts w:hint="eastAsia"/>
      </w:rPr>
      <w:t>采购</w:t>
    </w:r>
    <w:r>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5E58"/>
    <w:multiLevelType w:val="singleLevel"/>
    <w:tmpl w:val="021C5E58"/>
    <w:lvl w:ilvl="0" w:tentative="0">
      <w:start w:val="2"/>
      <w:numFmt w:val="decimal"/>
      <w:suff w:val="nothing"/>
      <w:lvlText w:val="%1、"/>
      <w:lvlJc w:val="left"/>
    </w:lvl>
  </w:abstractNum>
  <w:abstractNum w:abstractNumId="1">
    <w:nsid w:val="0F49214A"/>
    <w:multiLevelType w:val="multilevel"/>
    <w:tmpl w:val="0F49214A"/>
    <w:lvl w:ilvl="0" w:tentative="0">
      <w:start w:val="1"/>
      <w:numFmt w:val="japaneseCounting"/>
      <w:lvlText w:val="第%1条、"/>
      <w:lvlJc w:val="left"/>
      <w:pPr>
        <w:tabs>
          <w:tab w:val="left" w:pos="1692"/>
        </w:tabs>
        <w:ind w:left="1692" w:hanging="1125"/>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0025"/>
    <w:rsid w:val="00815B92"/>
    <w:rsid w:val="00833945"/>
    <w:rsid w:val="00862762"/>
    <w:rsid w:val="008B3AF4"/>
    <w:rsid w:val="008B70D3"/>
    <w:rsid w:val="008B718F"/>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06205"/>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E5D65"/>
    <w:rsid w:val="00FF3759"/>
    <w:rsid w:val="01A819C7"/>
    <w:rsid w:val="02ED2E09"/>
    <w:rsid w:val="04101312"/>
    <w:rsid w:val="04126C3A"/>
    <w:rsid w:val="048B1280"/>
    <w:rsid w:val="063C5FB7"/>
    <w:rsid w:val="06DE764E"/>
    <w:rsid w:val="078F3C35"/>
    <w:rsid w:val="07D744E5"/>
    <w:rsid w:val="09DF3564"/>
    <w:rsid w:val="0A706D21"/>
    <w:rsid w:val="0A8448BB"/>
    <w:rsid w:val="0BA955B6"/>
    <w:rsid w:val="0BE251C6"/>
    <w:rsid w:val="0C004BF3"/>
    <w:rsid w:val="0CC4029E"/>
    <w:rsid w:val="0D260012"/>
    <w:rsid w:val="0D7D793C"/>
    <w:rsid w:val="1122220D"/>
    <w:rsid w:val="1195641A"/>
    <w:rsid w:val="11E15D05"/>
    <w:rsid w:val="132C13BF"/>
    <w:rsid w:val="145A108E"/>
    <w:rsid w:val="151E6D6D"/>
    <w:rsid w:val="156470B5"/>
    <w:rsid w:val="156F3B00"/>
    <w:rsid w:val="174A1412"/>
    <w:rsid w:val="17C865E1"/>
    <w:rsid w:val="17CA757B"/>
    <w:rsid w:val="18607C2F"/>
    <w:rsid w:val="18771F18"/>
    <w:rsid w:val="1AE13846"/>
    <w:rsid w:val="1E386711"/>
    <w:rsid w:val="206877F5"/>
    <w:rsid w:val="20DA52C4"/>
    <w:rsid w:val="21BB26B4"/>
    <w:rsid w:val="23BC79C6"/>
    <w:rsid w:val="247B553B"/>
    <w:rsid w:val="25B37CE6"/>
    <w:rsid w:val="25F76E36"/>
    <w:rsid w:val="278E0300"/>
    <w:rsid w:val="290F0845"/>
    <w:rsid w:val="2D360984"/>
    <w:rsid w:val="2E623853"/>
    <w:rsid w:val="2E714B9B"/>
    <w:rsid w:val="2ECB2ADF"/>
    <w:rsid w:val="32B87F84"/>
    <w:rsid w:val="333A3DDF"/>
    <w:rsid w:val="343B4737"/>
    <w:rsid w:val="34D34A4D"/>
    <w:rsid w:val="351504FC"/>
    <w:rsid w:val="35C077E6"/>
    <w:rsid w:val="35E82AEA"/>
    <w:rsid w:val="368120CC"/>
    <w:rsid w:val="38122F5C"/>
    <w:rsid w:val="38881F7D"/>
    <w:rsid w:val="397B7DFE"/>
    <w:rsid w:val="3AE24DAF"/>
    <w:rsid w:val="3EA733F4"/>
    <w:rsid w:val="3F1A1586"/>
    <w:rsid w:val="40586BA5"/>
    <w:rsid w:val="405A7BE0"/>
    <w:rsid w:val="4069573B"/>
    <w:rsid w:val="40B379B1"/>
    <w:rsid w:val="41505F0F"/>
    <w:rsid w:val="43154E6A"/>
    <w:rsid w:val="432B1D8F"/>
    <w:rsid w:val="449453A9"/>
    <w:rsid w:val="4529072F"/>
    <w:rsid w:val="47D15557"/>
    <w:rsid w:val="499556D2"/>
    <w:rsid w:val="4B5D48A4"/>
    <w:rsid w:val="52784345"/>
    <w:rsid w:val="55A576A2"/>
    <w:rsid w:val="57A44F5C"/>
    <w:rsid w:val="58101306"/>
    <w:rsid w:val="5B087713"/>
    <w:rsid w:val="5BC75C46"/>
    <w:rsid w:val="5E03567B"/>
    <w:rsid w:val="5F176E41"/>
    <w:rsid w:val="601A67AD"/>
    <w:rsid w:val="606316BF"/>
    <w:rsid w:val="60760AAF"/>
    <w:rsid w:val="62926CAB"/>
    <w:rsid w:val="630B4FBF"/>
    <w:rsid w:val="646E5EB5"/>
    <w:rsid w:val="652923BB"/>
    <w:rsid w:val="668365FE"/>
    <w:rsid w:val="68602D85"/>
    <w:rsid w:val="6864180C"/>
    <w:rsid w:val="6868295B"/>
    <w:rsid w:val="688E561D"/>
    <w:rsid w:val="69B54AFC"/>
    <w:rsid w:val="6AE05914"/>
    <w:rsid w:val="6CAC2132"/>
    <w:rsid w:val="6CAF08E7"/>
    <w:rsid w:val="6DB5729B"/>
    <w:rsid w:val="6EBC3B07"/>
    <w:rsid w:val="6F813F3E"/>
    <w:rsid w:val="703953D6"/>
    <w:rsid w:val="70D1184E"/>
    <w:rsid w:val="725236A8"/>
    <w:rsid w:val="755C08D5"/>
    <w:rsid w:val="77111616"/>
    <w:rsid w:val="78C63187"/>
    <w:rsid w:val="7A314AEF"/>
    <w:rsid w:val="7A5C160E"/>
    <w:rsid w:val="7B5141A5"/>
    <w:rsid w:val="7B5C370D"/>
    <w:rsid w:val="7CD82E7E"/>
    <w:rsid w:val="7DFD35C1"/>
    <w:rsid w:val="7E64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75" w:after="75"/>
      <w:jc w:val="left"/>
    </w:pPr>
    <w:rPr>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3</TotalTime>
  <ScaleCrop>false</ScaleCrop>
  <LinksUpToDate>false</LinksUpToDate>
  <CharactersWithSpaces>6331</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陈宗元</cp:lastModifiedBy>
  <dcterms:modified xsi:type="dcterms:W3CDTF">2019-05-12T03:23:31Z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