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0" w:firstLineChars="2286"/>
        <w:rPr>
          <w:rFonts w:ascii="宋体" w:hAnsi="宋体" w:cs="宋体"/>
          <w:bCs/>
          <w:u w:val="single"/>
        </w:rPr>
      </w:pPr>
      <w:r>
        <w:rPr>
          <w:rFonts w:hint="eastAsia" w:ascii="宋体" w:hAnsi="宋体" w:cs="宋体"/>
          <w:bCs/>
          <w:sz w:val="28"/>
          <w:szCs w:val="28"/>
        </w:rPr>
        <w:t>招标编号</w:t>
      </w:r>
      <w:r>
        <w:rPr>
          <w:rFonts w:hint="eastAsia" w:ascii="宋体" w:hAnsi="宋体" w:cs="宋体"/>
          <w:bCs/>
        </w:rPr>
        <w:t>：</w:t>
      </w:r>
    </w:p>
    <w:p>
      <w:pPr>
        <w:spacing w:line="360" w:lineRule="auto"/>
        <w:ind w:firstLine="420" w:firstLineChars="200"/>
        <w:rPr>
          <w:rFonts w:ascii="Calibri" w:hAnsi="Calibri"/>
        </w:rPr>
      </w:pPr>
      <w:r>
        <w:rPr>
          <w:rFonts w:ascii="Calibri" w:hAnsi="Calibri"/>
        </w:rPr>
        <w:drawing>
          <wp:inline distT="0" distB="0" distL="114300" distR="114300">
            <wp:extent cx="3491230" cy="427355"/>
            <wp:effectExtent l="0" t="0" r="13970" b="10795"/>
            <wp:docPr id="6" name="图片 1" descr="中国建筑一局（集团）有限公司－中英文（横式组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中国建筑一局（集团）有限公司－中英文（横式组合）"/>
                    <pic:cNvPicPr>
                      <a:picLocks noChangeAspect="1"/>
                    </pic:cNvPicPr>
                  </pic:nvPicPr>
                  <pic:blipFill>
                    <a:blip r:embed="rId14"/>
                    <a:stretch>
                      <a:fillRect/>
                    </a:stretch>
                  </pic:blipFill>
                  <pic:spPr>
                    <a:xfrm>
                      <a:off x="0" y="0"/>
                      <a:ext cx="3491230" cy="427355"/>
                    </a:xfrm>
                    <a:prstGeom prst="rect">
                      <a:avLst/>
                    </a:prstGeom>
                    <a:noFill/>
                    <a:ln>
                      <a:noFill/>
                    </a:ln>
                  </pic:spPr>
                </pic:pic>
              </a:graphicData>
            </a:graphic>
          </wp:inline>
        </w:drawing>
      </w:r>
    </w:p>
    <w:p>
      <w:pPr>
        <w:spacing w:line="360" w:lineRule="auto"/>
        <w:ind w:firstLine="420" w:firstLineChars="200"/>
        <w:rPr>
          <w:rFonts w:ascii="Calibri" w:hAnsi="Calibri"/>
        </w:rPr>
      </w:pPr>
    </w:p>
    <w:p>
      <w:pPr>
        <w:spacing w:line="360" w:lineRule="auto"/>
        <w:ind w:firstLine="420" w:firstLineChars="200"/>
        <w:rPr>
          <w:rFonts w:ascii="Calibri" w:hAnsi="Calibri"/>
        </w:rPr>
      </w:pPr>
    </w:p>
    <w:p>
      <w:pPr>
        <w:spacing w:line="360" w:lineRule="auto"/>
        <w:rPr>
          <w:rFonts w:ascii="Calibri" w:hAnsi="Calibri"/>
        </w:rPr>
      </w:pPr>
    </w:p>
    <w:p>
      <w:pPr>
        <w:spacing w:line="360" w:lineRule="auto"/>
        <w:ind w:firstLine="420" w:firstLineChars="200"/>
        <w:rPr>
          <w:rFonts w:ascii="Calibri" w:hAnsi="Calibri"/>
        </w:rPr>
      </w:pPr>
    </w:p>
    <w:p>
      <w:pPr>
        <w:spacing w:line="360" w:lineRule="auto"/>
        <w:ind w:firstLine="420" w:firstLineChars="200"/>
        <w:rPr>
          <w:rFonts w:ascii="Calibri" w:hAnsi="Calibri"/>
        </w:rPr>
      </w:pPr>
    </w:p>
    <w:p>
      <w:pPr>
        <w:spacing w:line="360" w:lineRule="auto"/>
        <w:ind w:firstLine="420" w:firstLineChars="200"/>
        <w:rPr>
          <w:rFonts w:ascii="Calibri" w:hAnsi="Calibri"/>
        </w:rPr>
      </w:pPr>
    </w:p>
    <w:p>
      <w:pPr>
        <w:spacing w:line="360" w:lineRule="auto"/>
        <w:ind w:firstLine="420" w:firstLineChars="200"/>
        <w:rPr>
          <w:rFonts w:ascii="Calibri" w:hAnsi="Calibri"/>
        </w:rPr>
      </w:pPr>
    </w:p>
    <w:p>
      <w:pPr>
        <w:jc w:val="center"/>
        <w:rPr>
          <w:rFonts w:ascii="宋体" w:hAnsi="宋体" w:cs="宋体"/>
          <w:b/>
          <w:bCs/>
          <w:sz w:val="52"/>
          <w:szCs w:val="52"/>
        </w:rPr>
      </w:pPr>
      <w:r>
        <w:rPr>
          <w:rFonts w:hint="eastAsia" w:ascii="宋体" w:hAnsi="宋体" w:cs="宋体"/>
          <w:b/>
          <w:bCs/>
          <w:sz w:val="52"/>
          <w:szCs w:val="52"/>
        </w:rPr>
        <w:t>融悦大厦</w:t>
      </w:r>
      <w:r>
        <w:rPr>
          <w:rFonts w:hint="eastAsia" w:ascii="宋体" w:hAnsi="宋体" w:cs="宋体"/>
          <w:b/>
          <w:bCs/>
          <w:sz w:val="52"/>
          <w:szCs w:val="52"/>
          <w:lang w:val="en-US" w:eastAsia="zh-CN"/>
        </w:rPr>
        <w:t>南、</w:t>
      </w:r>
      <w:r>
        <w:rPr>
          <w:rFonts w:hint="eastAsia" w:ascii="宋体" w:hAnsi="宋体" w:cs="宋体"/>
          <w:b/>
          <w:bCs/>
          <w:sz w:val="52"/>
          <w:szCs w:val="52"/>
        </w:rPr>
        <w:t>北区施工总承包工程</w:t>
      </w:r>
    </w:p>
    <w:p>
      <w:pPr>
        <w:jc w:val="center"/>
        <w:rPr>
          <w:rFonts w:ascii="宋体" w:hAnsi="宋体" w:cs="宋体"/>
          <w:b/>
          <w:bCs/>
          <w:sz w:val="52"/>
          <w:szCs w:val="52"/>
        </w:rPr>
      </w:pPr>
    </w:p>
    <w:p>
      <w:pPr>
        <w:ind w:firstLine="2088" w:firstLineChars="400"/>
        <w:rPr>
          <w:rFonts w:ascii="宋体" w:hAnsi="宋体" w:cs="宋体"/>
          <w:b/>
          <w:bCs/>
          <w:sz w:val="52"/>
          <w:szCs w:val="52"/>
        </w:rPr>
      </w:pPr>
      <w:r>
        <w:rPr>
          <w:rFonts w:hint="eastAsia" w:ascii="宋体" w:hAnsi="宋体" w:cs="宋体"/>
          <w:b/>
          <w:bCs/>
          <w:sz w:val="52"/>
          <w:szCs w:val="52"/>
          <w:lang w:val="en-US" w:eastAsia="zh-CN"/>
        </w:rPr>
        <w:t>变压器</w:t>
      </w:r>
      <w:r>
        <w:rPr>
          <w:rFonts w:hint="eastAsia" w:ascii="宋体" w:hAnsi="宋体" w:cs="宋体"/>
          <w:b/>
          <w:bCs/>
          <w:sz w:val="52"/>
          <w:szCs w:val="52"/>
        </w:rPr>
        <w:t>采购招标文件</w:t>
      </w:r>
    </w:p>
    <w:p>
      <w:pPr>
        <w:spacing w:line="360" w:lineRule="auto"/>
        <w:ind w:firstLine="1044" w:firstLineChars="200"/>
        <w:jc w:val="center"/>
        <w:rPr>
          <w:rFonts w:ascii="宋体" w:hAnsi="宋体" w:cs="宋体"/>
          <w:b/>
          <w:bCs/>
          <w:sz w:val="52"/>
          <w:szCs w:val="52"/>
        </w:rPr>
      </w:pPr>
    </w:p>
    <w:p>
      <w:pPr>
        <w:spacing w:line="360" w:lineRule="auto"/>
        <w:ind w:firstLine="1044" w:firstLineChars="200"/>
        <w:jc w:val="center"/>
        <w:rPr>
          <w:rFonts w:ascii="宋体" w:hAnsi="宋体" w:cs="宋体"/>
          <w:b/>
          <w:bCs/>
          <w:sz w:val="52"/>
          <w:szCs w:val="52"/>
        </w:rPr>
      </w:pPr>
    </w:p>
    <w:p>
      <w:pPr>
        <w:spacing w:line="360" w:lineRule="auto"/>
        <w:ind w:firstLine="1044" w:firstLineChars="200"/>
        <w:jc w:val="center"/>
        <w:rPr>
          <w:rFonts w:ascii="宋体" w:hAnsi="宋体" w:cs="宋体"/>
          <w:b/>
          <w:bCs/>
          <w:sz w:val="52"/>
          <w:szCs w:val="52"/>
        </w:rPr>
      </w:pPr>
    </w:p>
    <w:p>
      <w:pPr>
        <w:spacing w:line="360" w:lineRule="auto"/>
        <w:ind w:firstLine="1044" w:firstLineChars="200"/>
        <w:jc w:val="center"/>
        <w:rPr>
          <w:rFonts w:ascii="宋体" w:hAnsi="宋体" w:cs="宋体"/>
          <w:b/>
          <w:bCs/>
          <w:sz w:val="52"/>
          <w:szCs w:val="52"/>
        </w:rPr>
      </w:pPr>
    </w:p>
    <w:p>
      <w:pPr>
        <w:spacing w:line="360" w:lineRule="auto"/>
        <w:ind w:firstLine="1044" w:firstLineChars="200"/>
        <w:jc w:val="center"/>
        <w:rPr>
          <w:rFonts w:ascii="宋体" w:hAnsi="宋体" w:cs="宋体"/>
          <w:b/>
          <w:bCs/>
          <w:sz w:val="52"/>
          <w:szCs w:val="52"/>
        </w:rPr>
      </w:pPr>
    </w:p>
    <w:p>
      <w:pPr>
        <w:spacing w:line="360" w:lineRule="auto"/>
        <w:ind w:firstLine="1044" w:firstLineChars="200"/>
        <w:jc w:val="center"/>
        <w:rPr>
          <w:rFonts w:ascii="宋体" w:hAnsi="宋体" w:cs="宋体"/>
          <w:b/>
          <w:bCs/>
          <w:sz w:val="52"/>
          <w:szCs w:val="52"/>
        </w:rPr>
      </w:pPr>
    </w:p>
    <w:p>
      <w:pPr>
        <w:spacing w:line="360" w:lineRule="auto"/>
        <w:ind w:firstLine="602" w:firstLineChars="200"/>
        <w:rPr>
          <w:rFonts w:ascii="仿宋_GB2312" w:eastAsia="仿宋_GB2312" w:cs="仿宋_GB2312"/>
          <w:b/>
          <w:bCs/>
          <w:color w:val="000000"/>
          <w:sz w:val="30"/>
          <w:szCs w:val="30"/>
        </w:rPr>
      </w:pPr>
      <w:r>
        <w:rPr>
          <w:rFonts w:hint="eastAsia" w:ascii="仿宋_GB2312" w:eastAsia="仿宋_GB2312" w:cs="仿宋_GB2312"/>
          <w:b/>
          <w:bCs/>
          <w:color w:val="000000"/>
          <w:sz w:val="30"/>
          <w:szCs w:val="30"/>
        </w:rPr>
        <w:t>招标单位：中国建筑一局（集团）有限公司</w:t>
      </w:r>
    </w:p>
    <w:p>
      <w:pPr>
        <w:spacing w:line="360" w:lineRule="auto"/>
        <w:ind w:firstLine="602" w:firstLineChars="200"/>
        <w:rPr>
          <w:rFonts w:ascii="仿宋_GB2312" w:eastAsia="仿宋_GB2312"/>
          <w:b/>
          <w:bCs/>
          <w:sz w:val="30"/>
          <w:szCs w:val="30"/>
        </w:rPr>
      </w:pPr>
      <w:r>
        <w:rPr>
          <w:rFonts w:hint="eastAsia" w:ascii="仿宋_GB2312" w:eastAsia="仿宋_GB2312" w:cs="仿宋_GB2312"/>
          <w:b/>
          <w:bCs/>
          <w:color w:val="000000"/>
          <w:sz w:val="30"/>
          <w:szCs w:val="30"/>
        </w:rPr>
        <w:t>日期：</w:t>
      </w:r>
      <w:r>
        <w:rPr>
          <w:rFonts w:hint="eastAsia" w:ascii="仿宋_GB2312" w:eastAsia="仿宋_GB2312" w:cs="仿宋_GB2312"/>
          <w:b/>
          <w:bCs/>
          <w:sz w:val="30"/>
          <w:szCs w:val="30"/>
        </w:rPr>
        <w:t xml:space="preserve"> 2020年</w:t>
      </w:r>
      <w:r>
        <w:rPr>
          <w:rFonts w:hint="eastAsia" w:ascii="仿宋_GB2312" w:eastAsia="仿宋_GB2312" w:cs="仿宋_GB2312"/>
          <w:b/>
          <w:bCs/>
          <w:sz w:val="30"/>
          <w:szCs w:val="30"/>
          <w:lang w:val="en-US" w:eastAsia="zh-CN"/>
        </w:rPr>
        <w:t>9</w:t>
      </w:r>
      <w:r>
        <w:rPr>
          <w:rFonts w:hint="eastAsia" w:ascii="仿宋_GB2312" w:eastAsia="仿宋_GB2312" w:cs="仿宋_GB2312"/>
          <w:b/>
          <w:bCs/>
          <w:sz w:val="30"/>
          <w:szCs w:val="30"/>
        </w:rPr>
        <w:t>月</w:t>
      </w:r>
      <w:r>
        <w:rPr>
          <w:rFonts w:hint="eastAsia" w:ascii="仿宋_GB2312" w:eastAsia="仿宋_GB2312" w:cs="仿宋_GB2312"/>
          <w:b/>
          <w:bCs/>
          <w:sz w:val="30"/>
          <w:szCs w:val="30"/>
          <w:lang w:val="en-US" w:eastAsia="zh-CN"/>
        </w:rPr>
        <w:t>27</w:t>
      </w:r>
      <w:r>
        <w:rPr>
          <w:rFonts w:hint="eastAsia" w:ascii="仿宋_GB2312" w:eastAsia="仿宋_GB2312" w:cs="仿宋_GB2312"/>
          <w:b/>
          <w:bCs/>
          <w:sz w:val="30"/>
          <w:szCs w:val="30"/>
        </w:rPr>
        <w:t>日</w:t>
      </w:r>
    </w:p>
    <w:p>
      <w:pPr>
        <w:spacing w:line="360" w:lineRule="auto"/>
        <w:rPr>
          <w:rFonts w:ascii="方正细圆简体" w:eastAsia="方正细圆简体"/>
          <w:b/>
          <w:bCs/>
          <w:color w:val="000000"/>
        </w:rPr>
        <w:sectPr>
          <w:footerReference r:id="rId5" w:type="first"/>
          <w:headerReference r:id="rId3" w:type="default"/>
          <w:footerReference r:id="rId4" w:type="default"/>
          <w:pgSz w:w="11907" w:h="16840"/>
          <w:pgMar w:top="1418" w:right="1440" w:bottom="1418" w:left="1440" w:header="851" w:footer="851" w:gutter="0"/>
          <w:cols w:space="720" w:num="1"/>
          <w:titlePg/>
          <w:docGrid w:linePitch="312" w:charSpace="0"/>
        </w:sectPr>
      </w:pPr>
    </w:p>
    <w:p>
      <w:pPr>
        <w:ind w:firstLine="420" w:firstLineChars="200"/>
        <w:jc w:val="center"/>
        <w:rPr>
          <w:rFonts w:ascii="宋体" w:hAnsi="宋体"/>
        </w:rPr>
      </w:pPr>
      <w:r>
        <w:rPr>
          <w:rFonts w:ascii="宋体" w:hAnsi="宋体"/>
        </w:rPr>
        <w:t>目录</w:t>
      </w:r>
    </w:p>
    <w:p>
      <w:pPr>
        <w:pStyle w:val="17"/>
        <w:tabs>
          <w:tab w:val="right" w:leader="dot" w:pos="9661"/>
        </w:tabs>
      </w:pPr>
      <w:r>
        <w:rPr>
          <w:rFonts w:hint="eastAsia" w:ascii="宋体" w:hAnsi="宋体" w:cs="宋体"/>
          <w:b/>
          <w:bCs/>
        </w:rPr>
        <w:fldChar w:fldCharType="begin"/>
      </w:r>
      <w:r>
        <w:rPr>
          <w:rFonts w:hint="eastAsia" w:ascii="宋体" w:hAnsi="宋体" w:cs="宋体"/>
          <w:b/>
          <w:bCs/>
        </w:rPr>
        <w:instrText xml:space="preserve">TOC \o "1-3" \h \u </w:instrText>
      </w:r>
      <w:r>
        <w:rPr>
          <w:rFonts w:hint="eastAsia" w:ascii="宋体" w:hAnsi="宋体" w:cs="宋体"/>
          <w:b/>
          <w:bCs/>
        </w:rPr>
        <w:fldChar w:fldCharType="separate"/>
      </w:r>
      <w:r>
        <w:fldChar w:fldCharType="begin"/>
      </w:r>
      <w:r>
        <w:instrText xml:space="preserve"> HYPERLINK \l "_Toc8146" </w:instrText>
      </w:r>
      <w:r>
        <w:fldChar w:fldCharType="separate"/>
      </w:r>
      <w:r>
        <w:rPr>
          <w:rFonts w:hint="eastAsia" w:ascii="宋体" w:hAnsi="宋体" w:cs="宋体"/>
          <w:bCs/>
          <w:szCs w:val="30"/>
        </w:rPr>
        <w:t>第一部分招标公告</w:t>
      </w:r>
      <w:r>
        <w:tab/>
      </w:r>
      <w:r>
        <w:fldChar w:fldCharType="end"/>
      </w:r>
    </w:p>
    <w:p>
      <w:pPr>
        <w:pStyle w:val="17"/>
        <w:tabs>
          <w:tab w:val="right" w:leader="dot" w:pos="9661"/>
        </w:tabs>
      </w:pPr>
      <w:r>
        <w:fldChar w:fldCharType="begin"/>
      </w:r>
      <w:r>
        <w:instrText xml:space="preserve"> HYPERLINK \l "_Toc22797" </w:instrText>
      </w:r>
      <w:r>
        <w:fldChar w:fldCharType="separate"/>
      </w:r>
      <w:r>
        <w:rPr>
          <w:rFonts w:hint="eastAsia" w:ascii="宋体" w:hAnsi="宋体" w:cs="宋体"/>
          <w:bCs/>
          <w:szCs w:val="30"/>
        </w:rPr>
        <w:t>第二部分投标须知</w:t>
      </w:r>
      <w:r>
        <w:tab/>
      </w:r>
      <w:r>
        <w:fldChar w:fldCharType="end"/>
      </w:r>
    </w:p>
    <w:p>
      <w:pPr>
        <w:pStyle w:val="19"/>
        <w:tabs>
          <w:tab w:val="right" w:leader="dot" w:pos="9661"/>
        </w:tabs>
      </w:pPr>
      <w:r>
        <w:fldChar w:fldCharType="begin"/>
      </w:r>
      <w:r>
        <w:instrText xml:space="preserve"> HYPERLINK \l "_Toc29191" </w:instrText>
      </w:r>
      <w:r>
        <w:fldChar w:fldCharType="separate"/>
      </w:r>
      <w:r>
        <w:rPr>
          <w:rFonts w:ascii="宋体" w:hAnsi="宋体"/>
          <w:bCs/>
        </w:rPr>
        <w:t xml:space="preserve">一、 </w:t>
      </w:r>
      <w:r>
        <w:rPr>
          <w:rFonts w:hint="eastAsia" w:ascii="宋体" w:hAnsi="宋体" w:cs="方正细圆简体"/>
          <w:bCs/>
        </w:rPr>
        <w:t>适用范围</w:t>
      </w:r>
      <w:r>
        <w:tab/>
      </w:r>
      <w:r>
        <w:fldChar w:fldCharType="end"/>
      </w:r>
    </w:p>
    <w:p>
      <w:pPr>
        <w:pStyle w:val="19"/>
        <w:tabs>
          <w:tab w:val="right" w:leader="dot" w:pos="9661"/>
        </w:tabs>
      </w:pPr>
      <w:r>
        <w:fldChar w:fldCharType="begin"/>
      </w:r>
      <w:r>
        <w:instrText xml:space="preserve"> HYPERLINK \l "_Toc25735" </w:instrText>
      </w:r>
      <w:r>
        <w:fldChar w:fldCharType="separate"/>
      </w:r>
      <w:r>
        <w:rPr>
          <w:rFonts w:ascii="宋体" w:hAnsi="宋体"/>
          <w:bCs/>
        </w:rPr>
        <w:t xml:space="preserve">二、 </w:t>
      </w:r>
      <w:r>
        <w:rPr>
          <w:rFonts w:hint="eastAsia" w:ascii="宋体" w:hAnsi="宋体" w:cs="方正细圆简体"/>
          <w:bCs/>
        </w:rPr>
        <w:t>定义</w:t>
      </w:r>
      <w:r>
        <w:tab/>
      </w:r>
      <w:r>
        <w:fldChar w:fldCharType="end"/>
      </w:r>
    </w:p>
    <w:p>
      <w:pPr>
        <w:pStyle w:val="19"/>
        <w:tabs>
          <w:tab w:val="right" w:leader="dot" w:pos="9661"/>
        </w:tabs>
      </w:pPr>
      <w:r>
        <w:fldChar w:fldCharType="begin"/>
      </w:r>
      <w:r>
        <w:instrText xml:space="preserve"> HYPERLINK \l "_Toc29299" </w:instrText>
      </w:r>
      <w:r>
        <w:fldChar w:fldCharType="separate"/>
      </w:r>
      <w:r>
        <w:rPr>
          <w:rFonts w:ascii="宋体" w:hAnsi="宋体"/>
          <w:bCs/>
        </w:rPr>
        <w:t xml:space="preserve">三、 </w:t>
      </w:r>
      <w:r>
        <w:rPr>
          <w:rFonts w:hint="eastAsia" w:ascii="宋体" w:hAnsi="宋体" w:cs="方正细圆简体"/>
          <w:bCs/>
        </w:rPr>
        <w:t>投标单位资格与合格条件要求</w:t>
      </w:r>
      <w:r>
        <w:tab/>
      </w:r>
      <w:r>
        <w:fldChar w:fldCharType="end"/>
      </w:r>
    </w:p>
    <w:p>
      <w:pPr>
        <w:pStyle w:val="19"/>
        <w:tabs>
          <w:tab w:val="right" w:leader="dot" w:pos="9661"/>
        </w:tabs>
      </w:pPr>
      <w:r>
        <w:fldChar w:fldCharType="begin"/>
      </w:r>
      <w:r>
        <w:instrText xml:space="preserve"> HYPERLINK \l "_Toc32599" </w:instrText>
      </w:r>
      <w:r>
        <w:fldChar w:fldCharType="separate"/>
      </w:r>
      <w:r>
        <w:rPr>
          <w:rFonts w:ascii="宋体" w:hAnsi="宋体"/>
          <w:bCs/>
        </w:rPr>
        <w:t xml:space="preserve">四、 </w:t>
      </w:r>
      <w:r>
        <w:rPr>
          <w:rFonts w:hint="eastAsia" w:ascii="宋体" w:hAnsi="宋体" w:cs="方正细圆简体"/>
          <w:bCs/>
        </w:rPr>
        <w:t>招标文件的构成</w:t>
      </w:r>
      <w:r>
        <w:tab/>
      </w:r>
      <w:r>
        <w:fldChar w:fldCharType="end"/>
      </w:r>
    </w:p>
    <w:p>
      <w:pPr>
        <w:pStyle w:val="19"/>
        <w:tabs>
          <w:tab w:val="right" w:leader="dot" w:pos="9661"/>
        </w:tabs>
      </w:pPr>
      <w:r>
        <w:fldChar w:fldCharType="begin"/>
      </w:r>
      <w:r>
        <w:instrText xml:space="preserve"> HYPERLINK \l "_Toc16354" </w:instrText>
      </w:r>
      <w:r>
        <w:fldChar w:fldCharType="separate"/>
      </w:r>
      <w:r>
        <w:rPr>
          <w:rFonts w:ascii="宋体" w:hAnsi="宋体" w:cs="方正细圆简体"/>
          <w:bCs/>
        </w:rPr>
        <w:t xml:space="preserve">五、 </w:t>
      </w:r>
      <w:r>
        <w:rPr>
          <w:rFonts w:hint="eastAsia" w:ascii="宋体" w:hAnsi="宋体" w:cs="方正细圆简体"/>
          <w:bCs/>
        </w:rPr>
        <w:t>招标文件的澄清</w:t>
      </w:r>
      <w:r>
        <w:tab/>
      </w:r>
      <w:r>
        <w:fldChar w:fldCharType="end"/>
      </w:r>
    </w:p>
    <w:p>
      <w:pPr>
        <w:pStyle w:val="19"/>
        <w:tabs>
          <w:tab w:val="right" w:leader="dot" w:pos="9661"/>
        </w:tabs>
      </w:pPr>
      <w:r>
        <w:fldChar w:fldCharType="begin"/>
      </w:r>
      <w:r>
        <w:instrText xml:space="preserve"> HYPERLINK \l "_Toc26385" </w:instrText>
      </w:r>
      <w:r>
        <w:fldChar w:fldCharType="separate"/>
      </w:r>
      <w:r>
        <w:rPr>
          <w:rFonts w:ascii="宋体" w:hAnsi="宋体"/>
          <w:bCs/>
        </w:rPr>
        <w:t xml:space="preserve">六、 </w:t>
      </w:r>
      <w:r>
        <w:rPr>
          <w:rFonts w:hint="eastAsia" w:ascii="宋体" w:hAnsi="宋体" w:cs="方正细圆简体"/>
          <w:bCs/>
        </w:rPr>
        <w:t>招标文件的补充和修改</w:t>
      </w:r>
      <w:r>
        <w:tab/>
      </w:r>
      <w:r>
        <w:fldChar w:fldCharType="end"/>
      </w:r>
    </w:p>
    <w:p>
      <w:pPr>
        <w:pStyle w:val="19"/>
        <w:tabs>
          <w:tab w:val="right" w:leader="dot" w:pos="9661"/>
        </w:tabs>
      </w:pPr>
      <w:r>
        <w:fldChar w:fldCharType="begin"/>
      </w:r>
      <w:r>
        <w:instrText xml:space="preserve"> HYPERLINK \l "_Toc7103" </w:instrText>
      </w:r>
      <w:r>
        <w:fldChar w:fldCharType="separate"/>
      </w:r>
      <w:r>
        <w:rPr>
          <w:rFonts w:ascii="宋体" w:hAnsi="宋体"/>
          <w:bCs/>
        </w:rPr>
        <w:t xml:space="preserve">七、 </w:t>
      </w:r>
      <w:r>
        <w:rPr>
          <w:rFonts w:hint="eastAsia" w:ascii="宋体" w:hAnsi="宋体"/>
          <w:bCs/>
        </w:rPr>
        <w:t>电子网络投标要点</w:t>
      </w:r>
      <w:r>
        <w:tab/>
      </w:r>
      <w:r>
        <w:fldChar w:fldCharType="end"/>
      </w:r>
    </w:p>
    <w:p>
      <w:pPr>
        <w:pStyle w:val="19"/>
        <w:tabs>
          <w:tab w:val="right" w:leader="dot" w:pos="9661"/>
        </w:tabs>
      </w:pPr>
      <w:r>
        <w:fldChar w:fldCharType="begin"/>
      </w:r>
      <w:r>
        <w:instrText xml:space="preserve"> HYPERLINK \l "_Toc4340" </w:instrText>
      </w:r>
      <w:r>
        <w:fldChar w:fldCharType="separate"/>
      </w:r>
      <w:r>
        <w:rPr>
          <w:rFonts w:ascii="宋体" w:hAnsi="宋体"/>
          <w:bCs/>
        </w:rPr>
        <w:t xml:space="preserve">八、 </w:t>
      </w:r>
      <w:r>
        <w:rPr>
          <w:rFonts w:hint="eastAsia" w:ascii="宋体" w:hAnsi="宋体" w:cs="方正细圆简体"/>
          <w:bCs/>
        </w:rPr>
        <w:t>投标文件编制的基本要求</w:t>
      </w:r>
      <w:r>
        <w:tab/>
      </w:r>
      <w:r>
        <w:fldChar w:fldCharType="end"/>
      </w:r>
    </w:p>
    <w:p>
      <w:pPr>
        <w:pStyle w:val="19"/>
        <w:tabs>
          <w:tab w:val="right" w:leader="dot" w:pos="9661"/>
        </w:tabs>
      </w:pPr>
      <w:r>
        <w:fldChar w:fldCharType="begin"/>
      </w:r>
      <w:r>
        <w:instrText xml:space="preserve"> HYPERLINK \l "_Toc462" </w:instrText>
      </w:r>
      <w:r>
        <w:fldChar w:fldCharType="separate"/>
      </w:r>
      <w:r>
        <w:rPr>
          <w:rFonts w:ascii="宋体" w:hAnsi="宋体"/>
          <w:bCs/>
        </w:rPr>
        <w:t xml:space="preserve">九、 </w:t>
      </w:r>
      <w:r>
        <w:rPr>
          <w:rFonts w:hint="eastAsia" w:ascii="宋体" w:hAnsi="宋体" w:cs="方正细圆简体"/>
          <w:bCs/>
        </w:rPr>
        <w:t>投标文件格式</w:t>
      </w:r>
      <w:r>
        <w:tab/>
      </w:r>
      <w:r>
        <w:fldChar w:fldCharType="end"/>
      </w:r>
    </w:p>
    <w:p>
      <w:pPr>
        <w:pStyle w:val="19"/>
        <w:tabs>
          <w:tab w:val="right" w:leader="dot" w:pos="9661"/>
        </w:tabs>
      </w:pPr>
      <w:r>
        <w:fldChar w:fldCharType="begin"/>
      </w:r>
      <w:r>
        <w:instrText xml:space="preserve"> HYPERLINK \l "_Toc24387" </w:instrText>
      </w:r>
      <w:r>
        <w:fldChar w:fldCharType="separate"/>
      </w:r>
      <w:r>
        <w:rPr>
          <w:rFonts w:ascii="宋体" w:hAnsi="宋体" w:cs="方正细圆简体"/>
          <w:bCs/>
        </w:rPr>
        <w:t xml:space="preserve">十、 </w:t>
      </w:r>
      <w:r>
        <w:rPr>
          <w:rFonts w:hint="eastAsia" w:ascii="宋体" w:hAnsi="宋体" w:cs="方正细圆简体"/>
          <w:bCs/>
        </w:rPr>
        <w:t>投标报价</w:t>
      </w:r>
      <w:r>
        <w:tab/>
      </w:r>
      <w:r>
        <w:fldChar w:fldCharType="end"/>
      </w:r>
    </w:p>
    <w:p>
      <w:pPr>
        <w:pStyle w:val="19"/>
        <w:tabs>
          <w:tab w:val="right" w:leader="dot" w:pos="9661"/>
        </w:tabs>
      </w:pPr>
      <w:r>
        <w:fldChar w:fldCharType="begin"/>
      </w:r>
      <w:r>
        <w:instrText xml:space="preserve"> HYPERLINK \l "_Toc4745" </w:instrText>
      </w:r>
      <w:r>
        <w:fldChar w:fldCharType="separate"/>
      </w:r>
      <w:r>
        <w:rPr>
          <w:rFonts w:ascii="宋体" w:hAnsi="宋体"/>
          <w:bCs/>
        </w:rPr>
        <w:t xml:space="preserve">十一、 </w:t>
      </w:r>
      <w:r>
        <w:rPr>
          <w:rFonts w:hint="eastAsia" w:ascii="宋体" w:hAnsi="宋体" w:cs="方正细圆简体"/>
          <w:bCs/>
        </w:rPr>
        <w:t>付款及结算方式</w:t>
      </w:r>
      <w:r>
        <w:tab/>
      </w:r>
      <w:r>
        <w:fldChar w:fldCharType="end"/>
      </w:r>
    </w:p>
    <w:p>
      <w:pPr>
        <w:pStyle w:val="19"/>
        <w:tabs>
          <w:tab w:val="right" w:leader="dot" w:pos="9661"/>
        </w:tabs>
      </w:pPr>
      <w:r>
        <w:fldChar w:fldCharType="begin"/>
      </w:r>
      <w:r>
        <w:instrText xml:space="preserve"> HYPERLINK \l "_Toc17075" </w:instrText>
      </w:r>
      <w:r>
        <w:fldChar w:fldCharType="separate"/>
      </w:r>
      <w:r>
        <w:rPr>
          <w:rFonts w:ascii="宋体" w:hAnsi="宋体" w:cs="方正细圆简体"/>
          <w:bCs/>
        </w:rPr>
        <w:t xml:space="preserve">十二、 </w:t>
      </w:r>
      <w:r>
        <w:rPr>
          <w:rFonts w:hint="eastAsia" w:ascii="宋体" w:hAnsi="宋体" w:cs="方正细圆简体"/>
          <w:bCs/>
        </w:rPr>
        <w:t>投标保证金</w:t>
      </w:r>
      <w:r>
        <w:tab/>
      </w:r>
      <w:r>
        <w:fldChar w:fldCharType="end"/>
      </w:r>
    </w:p>
    <w:p>
      <w:pPr>
        <w:pStyle w:val="19"/>
        <w:tabs>
          <w:tab w:val="right" w:leader="dot" w:pos="9661"/>
        </w:tabs>
      </w:pPr>
      <w:r>
        <w:fldChar w:fldCharType="begin"/>
      </w:r>
      <w:r>
        <w:instrText xml:space="preserve"> HYPERLINK \l "_Toc3441" </w:instrText>
      </w:r>
      <w:r>
        <w:fldChar w:fldCharType="separate"/>
      </w:r>
      <w:r>
        <w:rPr>
          <w:rFonts w:hint="eastAsia" w:ascii="宋体" w:hAnsi="宋体" w:cs="方正细圆简体"/>
          <w:bCs/>
        </w:rPr>
        <w:t>十三、投标的其他基本条件及要求</w:t>
      </w:r>
      <w:r>
        <w:tab/>
      </w:r>
      <w:r>
        <w:fldChar w:fldCharType="end"/>
      </w:r>
    </w:p>
    <w:p>
      <w:pPr>
        <w:pStyle w:val="19"/>
        <w:tabs>
          <w:tab w:val="right" w:leader="dot" w:pos="9661"/>
        </w:tabs>
      </w:pPr>
      <w:r>
        <w:fldChar w:fldCharType="begin"/>
      </w:r>
      <w:r>
        <w:instrText xml:space="preserve"> HYPERLINK \l "_Toc12280" </w:instrText>
      </w:r>
      <w:r>
        <w:fldChar w:fldCharType="separate"/>
      </w:r>
      <w:r>
        <w:rPr>
          <w:rFonts w:hint="eastAsia" w:ascii="宋体" w:hAnsi="宋体" w:cs="方正细圆简体"/>
          <w:bCs/>
        </w:rPr>
        <w:t>十四、投标注意事项</w:t>
      </w:r>
      <w:r>
        <w:tab/>
      </w:r>
      <w:r>
        <w:fldChar w:fldCharType="end"/>
      </w:r>
    </w:p>
    <w:p>
      <w:pPr>
        <w:pStyle w:val="19"/>
        <w:tabs>
          <w:tab w:val="right" w:leader="dot" w:pos="9661"/>
        </w:tabs>
      </w:pPr>
      <w:r>
        <w:fldChar w:fldCharType="begin"/>
      </w:r>
      <w:r>
        <w:instrText xml:space="preserve"> HYPERLINK \l "_Toc17104" </w:instrText>
      </w:r>
      <w:r>
        <w:fldChar w:fldCharType="separate"/>
      </w:r>
      <w:r>
        <w:rPr>
          <w:rFonts w:hint="eastAsia" w:ascii="宋体" w:hAnsi="宋体" w:cs="方正细圆简体"/>
          <w:bCs/>
        </w:rPr>
        <w:t>十五、投标有效期</w:t>
      </w:r>
      <w:r>
        <w:tab/>
      </w:r>
      <w:r>
        <w:fldChar w:fldCharType="end"/>
      </w:r>
    </w:p>
    <w:p>
      <w:pPr>
        <w:pStyle w:val="19"/>
        <w:tabs>
          <w:tab w:val="right" w:leader="dot" w:pos="9661"/>
        </w:tabs>
      </w:pPr>
      <w:r>
        <w:fldChar w:fldCharType="begin"/>
      </w:r>
      <w:r>
        <w:instrText xml:space="preserve"> HYPERLINK \l "_Toc21231" </w:instrText>
      </w:r>
      <w:r>
        <w:fldChar w:fldCharType="separate"/>
      </w:r>
      <w:r>
        <w:rPr>
          <w:rFonts w:hint="eastAsia" w:ascii="宋体" w:hAnsi="宋体" w:cs="方正细圆简体"/>
          <w:bCs/>
        </w:rPr>
        <w:t>十六、投标文件的份数和签署</w:t>
      </w:r>
      <w:r>
        <w:tab/>
      </w:r>
      <w:r>
        <w:fldChar w:fldCharType="end"/>
      </w:r>
    </w:p>
    <w:p>
      <w:pPr>
        <w:pStyle w:val="19"/>
        <w:tabs>
          <w:tab w:val="right" w:leader="dot" w:pos="9661"/>
        </w:tabs>
      </w:pPr>
      <w:r>
        <w:fldChar w:fldCharType="begin"/>
      </w:r>
      <w:r>
        <w:instrText xml:space="preserve"> HYPERLINK \l "_Toc24778" </w:instrText>
      </w:r>
      <w:r>
        <w:fldChar w:fldCharType="separate"/>
      </w:r>
      <w:r>
        <w:rPr>
          <w:rFonts w:hint="eastAsia" w:ascii="宋体" w:hAnsi="宋体" w:cs="方正细圆简体"/>
          <w:bCs/>
        </w:rPr>
        <w:t>十七、投标文件的密封和标记</w:t>
      </w:r>
      <w:r>
        <w:tab/>
      </w:r>
      <w:r>
        <w:fldChar w:fldCharType="end"/>
      </w:r>
    </w:p>
    <w:p>
      <w:pPr>
        <w:pStyle w:val="19"/>
        <w:tabs>
          <w:tab w:val="right" w:leader="dot" w:pos="9661"/>
        </w:tabs>
      </w:pPr>
      <w:r>
        <w:fldChar w:fldCharType="begin"/>
      </w:r>
      <w:r>
        <w:instrText xml:space="preserve"> HYPERLINK \l "_Toc29699" </w:instrText>
      </w:r>
      <w:r>
        <w:fldChar w:fldCharType="separate"/>
      </w:r>
      <w:r>
        <w:rPr>
          <w:rFonts w:hint="eastAsia" w:ascii="宋体" w:hAnsi="宋体" w:cs="方正细圆简体"/>
          <w:bCs/>
        </w:rPr>
        <w:t>十八、投标文件的截止时间</w:t>
      </w:r>
      <w:r>
        <w:tab/>
      </w:r>
      <w:r>
        <w:fldChar w:fldCharType="end"/>
      </w:r>
    </w:p>
    <w:p>
      <w:pPr>
        <w:pStyle w:val="19"/>
        <w:tabs>
          <w:tab w:val="right" w:leader="dot" w:pos="9661"/>
        </w:tabs>
      </w:pPr>
      <w:r>
        <w:fldChar w:fldCharType="begin"/>
      </w:r>
      <w:r>
        <w:instrText xml:space="preserve"> HYPERLINK \l "_Toc23978" </w:instrText>
      </w:r>
      <w:r>
        <w:fldChar w:fldCharType="separate"/>
      </w:r>
      <w:r>
        <w:rPr>
          <w:rFonts w:hint="eastAsia" w:ascii="宋体" w:hAnsi="宋体" w:cs="方正细圆简体"/>
          <w:bCs/>
        </w:rPr>
        <w:t>十九、迟交的投标文件</w:t>
      </w:r>
      <w:r>
        <w:tab/>
      </w:r>
      <w:r>
        <w:fldChar w:fldCharType="end"/>
      </w:r>
    </w:p>
    <w:p>
      <w:pPr>
        <w:pStyle w:val="19"/>
        <w:tabs>
          <w:tab w:val="right" w:leader="dot" w:pos="9661"/>
        </w:tabs>
      </w:pPr>
      <w:r>
        <w:fldChar w:fldCharType="begin"/>
      </w:r>
      <w:r>
        <w:instrText xml:space="preserve"> HYPERLINK \l "_Toc27060" </w:instrText>
      </w:r>
      <w:r>
        <w:fldChar w:fldCharType="separate"/>
      </w:r>
      <w:r>
        <w:rPr>
          <w:rFonts w:hint="eastAsia" w:ascii="宋体" w:hAnsi="宋体" w:cs="方正细圆简体"/>
          <w:bCs/>
        </w:rPr>
        <w:t>二十、投标文件的修改和补充</w:t>
      </w:r>
      <w:r>
        <w:tab/>
      </w:r>
      <w:r>
        <w:fldChar w:fldCharType="end"/>
      </w:r>
    </w:p>
    <w:p>
      <w:pPr>
        <w:pStyle w:val="19"/>
        <w:tabs>
          <w:tab w:val="right" w:leader="dot" w:pos="9661"/>
        </w:tabs>
      </w:pPr>
      <w:r>
        <w:fldChar w:fldCharType="begin"/>
      </w:r>
      <w:r>
        <w:instrText xml:space="preserve"> HYPERLINK \l "_Toc4549" </w:instrText>
      </w:r>
      <w:r>
        <w:fldChar w:fldCharType="separate"/>
      </w:r>
      <w:r>
        <w:rPr>
          <w:rFonts w:hint="eastAsia" w:ascii="宋体" w:hAnsi="宋体" w:cs="方正细圆简体"/>
          <w:bCs/>
        </w:rPr>
        <w:t>二十一、开标</w:t>
      </w:r>
      <w:r>
        <w:tab/>
      </w:r>
      <w:r>
        <w:fldChar w:fldCharType="end"/>
      </w:r>
    </w:p>
    <w:p>
      <w:pPr>
        <w:pStyle w:val="19"/>
        <w:tabs>
          <w:tab w:val="right" w:leader="dot" w:pos="9661"/>
        </w:tabs>
      </w:pPr>
      <w:r>
        <w:fldChar w:fldCharType="begin"/>
      </w:r>
      <w:r>
        <w:instrText xml:space="preserve"> HYPERLINK \l "_Toc32626" </w:instrText>
      </w:r>
      <w:r>
        <w:fldChar w:fldCharType="separate"/>
      </w:r>
      <w:r>
        <w:rPr>
          <w:rFonts w:hint="eastAsia" w:ascii="宋体" w:hAnsi="宋体" w:cs="方正细圆简体"/>
          <w:bCs/>
        </w:rPr>
        <w:t>二十二、议标</w:t>
      </w:r>
      <w:r>
        <w:tab/>
      </w:r>
      <w:r>
        <w:fldChar w:fldCharType="end"/>
      </w:r>
    </w:p>
    <w:p>
      <w:pPr>
        <w:pStyle w:val="19"/>
        <w:tabs>
          <w:tab w:val="right" w:leader="dot" w:pos="9661"/>
        </w:tabs>
      </w:pPr>
      <w:r>
        <w:fldChar w:fldCharType="begin"/>
      </w:r>
      <w:r>
        <w:instrText xml:space="preserve"> HYPERLINK \l "_Toc25979" </w:instrText>
      </w:r>
      <w:r>
        <w:fldChar w:fldCharType="separate"/>
      </w:r>
      <w:r>
        <w:rPr>
          <w:rFonts w:hint="eastAsia" w:ascii="宋体" w:hAnsi="宋体" w:cs="方正细圆简体"/>
          <w:bCs/>
        </w:rPr>
        <w:t>二十三、废标</w:t>
      </w:r>
      <w:r>
        <w:tab/>
      </w:r>
      <w:r>
        <w:fldChar w:fldCharType="end"/>
      </w:r>
    </w:p>
    <w:p>
      <w:pPr>
        <w:pStyle w:val="19"/>
        <w:tabs>
          <w:tab w:val="right" w:leader="dot" w:pos="9661"/>
        </w:tabs>
      </w:pPr>
      <w:r>
        <w:fldChar w:fldCharType="begin"/>
      </w:r>
      <w:r>
        <w:instrText xml:space="preserve"> HYPERLINK \l "_Toc17444" </w:instrText>
      </w:r>
      <w:r>
        <w:fldChar w:fldCharType="separate"/>
      </w:r>
      <w:r>
        <w:rPr>
          <w:rFonts w:hint="eastAsia" w:ascii="宋体" w:hAnsi="宋体" w:cs="方正细圆简体"/>
          <w:bCs/>
        </w:rPr>
        <w:t>二十四、评标原则</w:t>
      </w:r>
      <w:r>
        <w:tab/>
      </w:r>
      <w:r>
        <w:fldChar w:fldCharType="end"/>
      </w:r>
    </w:p>
    <w:p>
      <w:pPr>
        <w:pStyle w:val="19"/>
        <w:tabs>
          <w:tab w:val="right" w:leader="dot" w:pos="9661"/>
        </w:tabs>
      </w:pPr>
      <w:r>
        <w:fldChar w:fldCharType="begin"/>
      </w:r>
      <w:r>
        <w:instrText xml:space="preserve"> HYPERLINK \l "_Toc23565" </w:instrText>
      </w:r>
      <w:r>
        <w:fldChar w:fldCharType="separate"/>
      </w:r>
      <w:r>
        <w:rPr>
          <w:rFonts w:hint="eastAsia" w:ascii="宋体" w:hAnsi="宋体" w:cs="方正细圆简体"/>
          <w:bCs/>
        </w:rPr>
        <w:t>二十五、中标通知</w:t>
      </w:r>
      <w:r>
        <w:tab/>
      </w:r>
      <w:r>
        <w:fldChar w:fldCharType="end"/>
      </w:r>
    </w:p>
    <w:p>
      <w:pPr>
        <w:pStyle w:val="19"/>
        <w:tabs>
          <w:tab w:val="right" w:leader="dot" w:pos="9661"/>
        </w:tabs>
      </w:pPr>
      <w:r>
        <w:fldChar w:fldCharType="begin"/>
      </w:r>
      <w:r>
        <w:instrText xml:space="preserve"> HYPERLINK \l "_Toc1556" </w:instrText>
      </w:r>
      <w:r>
        <w:fldChar w:fldCharType="separate"/>
      </w:r>
      <w:r>
        <w:rPr>
          <w:rFonts w:hint="eastAsia" w:ascii="宋体" w:hAnsi="宋体" w:cs="方正细圆简体"/>
          <w:bCs/>
        </w:rPr>
        <w:t>二十六、签订供货合同</w:t>
      </w:r>
      <w:r>
        <w:tab/>
      </w:r>
      <w:r>
        <w:fldChar w:fldCharType="end"/>
      </w:r>
    </w:p>
    <w:p>
      <w:pPr>
        <w:pStyle w:val="19"/>
        <w:tabs>
          <w:tab w:val="right" w:leader="dot" w:pos="9661"/>
        </w:tabs>
      </w:pPr>
      <w:r>
        <w:fldChar w:fldCharType="begin"/>
      </w:r>
      <w:r>
        <w:instrText xml:space="preserve"> HYPERLINK \l "_Toc19050" </w:instrText>
      </w:r>
      <w:r>
        <w:fldChar w:fldCharType="separate"/>
      </w:r>
      <w:r>
        <w:rPr>
          <w:rFonts w:hint="eastAsia" w:ascii="宋体" w:hAnsi="宋体" w:cs="方正细圆简体"/>
          <w:bCs/>
        </w:rPr>
        <w:t>二十七、供货周期</w:t>
      </w:r>
      <w:r>
        <w:tab/>
      </w:r>
      <w:r>
        <w:fldChar w:fldCharType="end"/>
      </w:r>
    </w:p>
    <w:p>
      <w:pPr>
        <w:pStyle w:val="17"/>
        <w:tabs>
          <w:tab w:val="right" w:leader="dot" w:pos="9661"/>
        </w:tabs>
      </w:pPr>
      <w:r>
        <w:fldChar w:fldCharType="begin"/>
      </w:r>
      <w:r>
        <w:instrText xml:space="preserve"> HYPERLINK \l "_Toc12057" </w:instrText>
      </w:r>
      <w:r>
        <w:fldChar w:fldCharType="separate"/>
      </w:r>
      <w:r>
        <w:rPr>
          <w:rFonts w:hint="eastAsia" w:cs="宋体"/>
          <w:bCs/>
          <w:szCs w:val="30"/>
        </w:rPr>
        <w:t>第三部分技术要求</w:t>
      </w:r>
      <w:r>
        <w:tab/>
      </w:r>
      <w:r>
        <w:fldChar w:fldCharType="end"/>
      </w:r>
    </w:p>
    <w:p>
      <w:pPr>
        <w:pStyle w:val="19"/>
        <w:tabs>
          <w:tab w:val="right" w:leader="dot" w:pos="9661"/>
        </w:tabs>
      </w:pPr>
      <w:r>
        <w:fldChar w:fldCharType="begin"/>
      </w:r>
      <w:r>
        <w:instrText xml:space="preserve"> HYPERLINK \l "_Toc16674" </w:instrText>
      </w:r>
      <w:r>
        <w:fldChar w:fldCharType="separate"/>
      </w:r>
      <w:r>
        <w:rPr>
          <w:rFonts w:hint="eastAsia" w:ascii="宋体" w:hAnsi="宋体" w:cs="方正细圆简体"/>
          <w:bCs/>
        </w:rPr>
        <w:t>一、基本原则</w:t>
      </w:r>
      <w:r>
        <w:tab/>
      </w:r>
      <w:r>
        <w:fldChar w:fldCharType="end"/>
      </w:r>
    </w:p>
    <w:p>
      <w:pPr>
        <w:pStyle w:val="19"/>
        <w:tabs>
          <w:tab w:val="right" w:leader="dot" w:pos="9661"/>
        </w:tabs>
      </w:pPr>
      <w:r>
        <w:fldChar w:fldCharType="begin"/>
      </w:r>
      <w:r>
        <w:instrText xml:space="preserve"> HYPERLINK \l "_Toc2872" </w:instrText>
      </w:r>
      <w:r>
        <w:fldChar w:fldCharType="separate"/>
      </w:r>
      <w:r>
        <w:rPr>
          <w:rFonts w:hint="eastAsia" w:ascii="宋体" w:hAnsi="宋体" w:cs="宋体"/>
        </w:rPr>
        <w:t xml:space="preserve">二、 </w:t>
      </w:r>
      <w:r>
        <w:rPr>
          <w:rFonts w:hint="eastAsia" w:ascii="宋体" w:hAnsi="宋体" w:cs="方正细圆简体"/>
          <w:bCs/>
        </w:rPr>
        <w:t>质量技术要求</w:t>
      </w:r>
      <w:r>
        <w:tab/>
      </w:r>
      <w:r>
        <w:fldChar w:fldCharType="end"/>
      </w:r>
    </w:p>
    <w:p>
      <w:pPr>
        <w:pStyle w:val="17"/>
        <w:tabs>
          <w:tab w:val="right" w:leader="dot" w:pos="9661"/>
        </w:tabs>
      </w:pPr>
      <w:r>
        <w:fldChar w:fldCharType="begin"/>
      </w:r>
      <w:r>
        <w:instrText xml:space="preserve"> HYPERLINK \l "_Toc11030" </w:instrText>
      </w:r>
      <w:r>
        <w:fldChar w:fldCharType="separate"/>
      </w:r>
      <w:r>
        <w:rPr>
          <w:rFonts w:hint="eastAsia" w:ascii="宋体" w:hAnsi="宋体" w:cs="宋体"/>
          <w:bCs/>
          <w:szCs w:val="30"/>
        </w:rPr>
        <w:t>第四部分招标附件</w:t>
      </w:r>
      <w:r>
        <w:tab/>
      </w:r>
      <w:r>
        <w:fldChar w:fldCharType="end"/>
      </w:r>
    </w:p>
    <w:p>
      <w:pPr>
        <w:pStyle w:val="17"/>
        <w:tabs>
          <w:tab w:val="right" w:leader="dot" w:pos="9661"/>
        </w:tabs>
      </w:pPr>
      <w:r>
        <w:fldChar w:fldCharType="begin"/>
      </w:r>
      <w:r>
        <w:instrText xml:space="preserve"> HYPERLINK \l "_Toc5388" </w:instrText>
      </w:r>
      <w:r>
        <w:fldChar w:fldCharType="separate"/>
      </w:r>
      <w:r>
        <w:rPr>
          <w:rFonts w:hint="eastAsia" w:ascii="宋体" w:hAnsi="宋体" w:cs="宋体"/>
          <w:bCs/>
          <w:szCs w:val="30"/>
        </w:rPr>
        <w:t>第五部分投标书组成及附件格式</w:t>
      </w:r>
      <w:r>
        <w:tab/>
      </w:r>
      <w:r>
        <w:fldChar w:fldCharType="end"/>
      </w:r>
    </w:p>
    <w:p>
      <w:pPr>
        <w:pStyle w:val="19"/>
        <w:tabs>
          <w:tab w:val="right" w:leader="dot" w:pos="9661"/>
        </w:tabs>
      </w:pPr>
      <w:r>
        <w:fldChar w:fldCharType="begin"/>
      </w:r>
      <w:r>
        <w:instrText xml:space="preserve"> HYPERLINK \l "_Toc28331" </w:instrText>
      </w:r>
      <w:r>
        <w:fldChar w:fldCharType="separate"/>
      </w:r>
      <w:r>
        <w:rPr>
          <w:rFonts w:ascii="仿宋" w:hAnsi="仿宋" w:eastAsia="仿宋"/>
          <w:szCs w:val="30"/>
        </w:rPr>
        <w:t xml:space="preserve">一、 </w:t>
      </w:r>
      <w:r>
        <w:rPr>
          <w:rFonts w:hint="eastAsia" w:ascii="仿宋" w:hAnsi="仿宋" w:eastAsia="仿宋"/>
          <w:szCs w:val="30"/>
        </w:rPr>
        <w:t>企业资质</w:t>
      </w:r>
      <w:r>
        <w:tab/>
      </w:r>
      <w:r>
        <w:fldChar w:fldCharType="end"/>
      </w:r>
    </w:p>
    <w:p>
      <w:pPr>
        <w:pStyle w:val="19"/>
        <w:tabs>
          <w:tab w:val="right" w:leader="dot" w:pos="9661"/>
        </w:tabs>
      </w:pPr>
      <w:r>
        <w:fldChar w:fldCharType="begin"/>
      </w:r>
      <w:r>
        <w:instrText xml:space="preserve"> HYPERLINK \l "_Toc32440" </w:instrText>
      </w:r>
      <w:r>
        <w:fldChar w:fldCharType="separate"/>
      </w:r>
      <w:r>
        <w:rPr>
          <w:rFonts w:ascii="仿宋" w:hAnsi="仿宋" w:eastAsia="仿宋"/>
          <w:szCs w:val="30"/>
        </w:rPr>
        <w:t xml:space="preserve">二、 </w:t>
      </w:r>
      <w:r>
        <w:rPr>
          <w:rFonts w:hint="eastAsia" w:ascii="仿宋" w:hAnsi="仿宋" w:eastAsia="仿宋"/>
          <w:szCs w:val="30"/>
        </w:rPr>
        <w:t>企业基本情况表</w:t>
      </w:r>
      <w:r>
        <w:tab/>
      </w:r>
      <w:r>
        <w:fldChar w:fldCharType="end"/>
      </w:r>
    </w:p>
    <w:p>
      <w:pPr>
        <w:pStyle w:val="19"/>
        <w:tabs>
          <w:tab w:val="right" w:leader="dot" w:pos="9661"/>
        </w:tabs>
      </w:pPr>
      <w:r>
        <w:fldChar w:fldCharType="begin"/>
      </w:r>
      <w:r>
        <w:instrText xml:space="preserve"> HYPERLINK \l "_Toc3460" </w:instrText>
      </w:r>
      <w:r>
        <w:fldChar w:fldCharType="separate"/>
      </w:r>
      <w:r>
        <w:rPr>
          <w:rFonts w:ascii="仿宋" w:hAnsi="仿宋" w:eastAsia="仿宋"/>
          <w:szCs w:val="30"/>
        </w:rPr>
        <w:t xml:space="preserve">三、 </w:t>
      </w:r>
      <w:r>
        <w:rPr>
          <w:rFonts w:hint="eastAsia" w:ascii="仿宋" w:hAnsi="仿宋" w:eastAsia="仿宋"/>
          <w:szCs w:val="30"/>
        </w:rPr>
        <w:t>法定代表人身份证明</w:t>
      </w:r>
      <w:r>
        <w:tab/>
      </w:r>
      <w:r>
        <w:fldChar w:fldCharType="end"/>
      </w:r>
    </w:p>
    <w:p>
      <w:pPr>
        <w:pStyle w:val="19"/>
        <w:tabs>
          <w:tab w:val="right" w:leader="dot" w:pos="9661"/>
        </w:tabs>
      </w:pPr>
      <w:r>
        <w:fldChar w:fldCharType="begin"/>
      </w:r>
      <w:r>
        <w:instrText xml:space="preserve"> HYPERLINK \l "_Toc9014" </w:instrText>
      </w:r>
      <w:r>
        <w:fldChar w:fldCharType="separate"/>
      </w:r>
      <w:r>
        <w:rPr>
          <w:rFonts w:hint="eastAsia" w:ascii="仿宋" w:hAnsi="仿宋" w:eastAsia="仿宋"/>
          <w:szCs w:val="30"/>
        </w:rPr>
        <w:t>四、法定代表人授权书</w:t>
      </w:r>
      <w:r>
        <w:tab/>
      </w:r>
      <w:r>
        <w:fldChar w:fldCharType="end"/>
      </w:r>
    </w:p>
    <w:p>
      <w:pPr>
        <w:pStyle w:val="19"/>
        <w:tabs>
          <w:tab w:val="right" w:leader="dot" w:pos="9661"/>
        </w:tabs>
      </w:pPr>
      <w:r>
        <w:fldChar w:fldCharType="begin"/>
      </w:r>
      <w:r>
        <w:instrText xml:space="preserve"> HYPERLINK \l "_Toc24333" </w:instrText>
      </w:r>
      <w:r>
        <w:fldChar w:fldCharType="separate"/>
      </w:r>
      <w:r>
        <w:rPr>
          <w:rFonts w:hint="eastAsia" w:ascii="仿宋" w:hAnsi="仿宋" w:eastAsia="仿宋"/>
          <w:szCs w:val="30"/>
        </w:rPr>
        <w:t>五、投标承诺函</w:t>
      </w:r>
      <w:r>
        <w:tab/>
      </w:r>
      <w:r>
        <w:fldChar w:fldCharType="end"/>
      </w:r>
    </w:p>
    <w:p>
      <w:pPr>
        <w:pStyle w:val="19"/>
        <w:tabs>
          <w:tab w:val="right" w:leader="dot" w:pos="9661"/>
        </w:tabs>
      </w:pPr>
      <w:r>
        <w:fldChar w:fldCharType="begin"/>
      </w:r>
      <w:r>
        <w:instrText xml:space="preserve"> HYPERLINK \l "_Toc11062" </w:instrText>
      </w:r>
      <w:r>
        <w:fldChar w:fldCharType="separate"/>
      </w:r>
      <w:r>
        <w:rPr>
          <w:rFonts w:hint="eastAsia" w:ascii="仿宋" w:hAnsi="仿宋" w:eastAsia="仿宋"/>
          <w:szCs w:val="30"/>
        </w:rPr>
        <w:t>六、投标保证金（如有）</w:t>
      </w:r>
      <w:r>
        <w:tab/>
      </w:r>
      <w:r>
        <w:fldChar w:fldCharType="end"/>
      </w:r>
    </w:p>
    <w:p>
      <w:pPr>
        <w:pStyle w:val="17"/>
        <w:tabs>
          <w:tab w:val="right" w:leader="dot" w:pos="9661"/>
        </w:tabs>
      </w:pPr>
      <w:r>
        <w:fldChar w:fldCharType="begin"/>
      </w:r>
      <w:r>
        <w:instrText xml:space="preserve"> HYPERLINK \l "_Toc9309" </w:instrText>
      </w:r>
      <w:r>
        <w:fldChar w:fldCharType="separate"/>
      </w:r>
      <w:r>
        <w:rPr>
          <w:rFonts w:hint="eastAsia" w:ascii="宋体" w:hAnsi="宋体" w:cs="宋体"/>
          <w:bCs/>
          <w:szCs w:val="30"/>
        </w:rPr>
        <w:t>主要工程业绩清单</w:t>
      </w:r>
      <w:r>
        <w:tab/>
      </w:r>
      <w:r>
        <w:fldChar w:fldCharType="end"/>
      </w:r>
    </w:p>
    <w:p>
      <w:pPr>
        <w:spacing w:line="360" w:lineRule="auto"/>
        <w:ind w:firstLine="420" w:firstLineChars="200"/>
        <w:rPr>
          <w:rFonts w:ascii="宋体" w:hAnsi="宋体" w:cs="宋体"/>
          <w:b/>
          <w:bCs/>
        </w:rPr>
      </w:pPr>
      <w:r>
        <w:rPr>
          <w:rFonts w:hint="eastAsia" w:ascii="宋体" w:hAnsi="宋体" w:cs="宋体"/>
          <w:bCs/>
        </w:rPr>
        <w:fldChar w:fldCharType="end"/>
      </w:r>
    </w:p>
    <w:p>
      <w:pPr>
        <w:spacing w:line="360" w:lineRule="auto"/>
        <w:outlineLvl w:val="0"/>
        <w:rPr>
          <w:rFonts w:ascii="宋体" w:cs="宋体"/>
          <w:b/>
          <w:bCs/>
        </w:rPr>
        <w:sectPr>
          <w:headerReference r:id="rId6" w:type="default"/>
          <w:footerReference r:id="rId7" w:type="default"/>
          <w:pgSz w:w="11907" w:h="16840"/>
          <w:pgMar w:top="1440" w:right="1123" w:bottom="1440" w:left="1123" w:header="851" w:footer="851" w:gutter="0"/>
          <w:pgNumType w:start="1"/>
          <w:cols w:space="720" w:num="1"/>
          <w:docGrid w:linePitch="312" w:charSpace="0"/>
        </w:sectPr>
      </w:pPr>
    </w:p>
    <w:p>
      <w:pPr>
        <w:spacing w:line="360" w:lineRule="auto"/>
        <w:ind w:firstLine="602" w:firstLineChars="200"/>
        <w:jc w:val="center"/>
        <w:outlineLvl w:val="0"/>
        <w:rPr>
          <w:rFonts w:ascii="宋体" w:hAnsi="宋体" w:cs="宋体"/>
          <w:b/>
          <w:bCs/>
          <w:sz w:val="30"/>
          <w:szCs w:val="30"/>
        </w:rPr>
      </w:pPr>
      <w:bookmarkStart w:id="0" w:name="_Toc5807"/>
      <w:bookmarkStart w:id="1" w:name="_Toc7137"/>
      <w:bookmarkStart w:id="2" w:name="_Toc22119"/>
      <w:bookmarkStart w:id="3" w:name="_Toc24803"/>
      <w:bookmarkStart w:id="4" w:name="_Toc17503"/>
      <w:bookmarkStart w:id="5" w:name="_Toc8146"/>
      <w:r>
        <w:rPr>
          <w:rFonts w:hint="eastAsia" w:ascii="宋体" w:hAnsi="宋体" w:cs="宋体"/>
          <w:b/>
          <w:bCs/>
          <w:sz w:val="30"/>
          <w:szCs w:val="30"/>
        </w:rPr>
        <w:t>第一部分招标公告</w:t>
      </w:r>
      <w:bookmarkEnd w:id="0"/>
      <w:bookmarkEnd w:id="1"/>
      <w:bookmarkEnd w:id="2"/>
      <w:bookmarkEnd w:id="3"/>
      <w:bookmarkEnd w:id="4"/>
      <w:bookmarkEnd w:id="5"/>
    </w:p>
    <w:p>
      <w:pPr>
        <w:spacing w:line="360" w:lineRule="exact"/>
        <w:ind w:firstLine="420" w:firstLineChars="200"/>
        <w:rPr>
          <w:rFonts w:ascii="宋体" w:hAnsi="宋体" w:cs="宋体"/>
        </w:rPr>
      </w:pPr>
      <w:r>
        <w:rPr>
          <w:rFonts w:hint="eastAsia" w:ascii="宋体" w:hAnsi="宋体" w:cs="宋体"/>
        </w:rPr>
        <w:t>尊敬的女士/先生：</w:t>
      </w:r>
    </w:p>
    <w:p>
      <w:pPr>
        <w:spacing w:line="360" w:lineRule="exact"/>
        <w:ind w:firstLine="420" w:firstLineChars="200"/>
        <w:rPr>
          <w:rFonts w:ascii="宋体" w:hAnsi="宋体" w:cs="宋体"/>
        </w:rPr>
      </w:pPr>
      <w:r>
        <w:rPr>
          <w:rFonts w:hint="eastAsia" w:ascii="宋体" w:hAnsi="宋体" w:cs="宋体"/>
        </w:rPr>
        <w:t>我公司作为</w:t>
      </w:r>
      <w:r>
        <w:rPr>
          <w:rFonts w:hint="eastAsia" w:ascii="宋体" w:hAnsi="宋体" w:cs="宋体"/>
          <w:u w:val="single"/>
        </w:rPr>
        <w:t>融悦大厦</w:t>
      </w:r>
      <w:r>
        <w:rPr>
          <w:rFonts w:hint="eastAsia" w:ascii="宋体" w:hAnsi="宋体" w:cs="宋体"/>
          <w:u w:val="single"/>
          <w:lang w:val="en-US" w:eastAsia="zh-CN"/>
        </w:rPr>
        <w:t>南、</w:t>
      </w:r>
      <w:r>
        <w:rPr>
          <w:rFonts w:hint="eastAsia" w:ascii="宋体" w:hAnsi="宋体" w:cs="宋体"/>
          <w:u w:val="single"/>
        </w:rPr>
        <w:t>北区施工总承包工程</w:t>
      </w:r>
      <w:r>
        <w:rPr>
          <w:rFonts w:hint="eastAsia" w:ascii="宋体" w:hAnsi="宋体" w:cs="宋体"/>
        </w:rPr>
        <w:t>的承包商对本工程的</w:t>
      </w:r>
      <w:r>
        <w:rPr>
          <w:rFonts w:hint="eastAsia" w:ascii="宋体" w:hAnsi="宋体" w:cs="宋体"/>
          <w:u w:val="single"/>
          <w:lang w:eastAsia="zh-CN"/>
        </w:rPr>
        <w:t>变压器</w:t>
      </w:r>
      <w:r>
        <w:rPr>
          <w:rFonts w:hint="eastAsia" w:ascii="宋体" w:hAnsi="宋体" w:cs="宋体"/>
        </w:rPr>
        <w:t>进行公开招标，欢迎符合条件并经资格预审合格的投标商参加投标。</w:t>
      </w:r>
    </w:p>
    <w:p>
      <w:pPr>
        <w:spacing w:line="360" w:lineRule="exact"/>
        <w:ind w:firstLine="420" w:firstLineChars="200"/>
        <w:rPr>
          <w:rFonts w:ascii="宋体" w:hAnsi="宋体" w:cs="宋体"/>
        </w:rPr>
      </w:pPr>
      <w:r>
        <w:rPr>
          <w:rFonts w:hint="eastAsia" w:ascii="宋体" w:hAnsi="宋体" w:cs="宋体"/>
        </w:rPr>
        <w:t>(一)工程名称：融悦大厦</w:t>
      </w:r>
      <w:r>
        <w:rPr>
          <w:rFonts w:hint="eastAsia" w:ascii="宋体" w:hAnsi="宋体" w:cs="宋体"/>
          <w:lang w:val="en-US" w:eastAsia="zh-CN"/>
        </w:rPr>
        <w:t>南、</w:t>
      </w:r>
      <w:r>
        <w:rPr>
          <w:rFonts w:hint="eastAsia" w:ascii="宋体" w:hAnsi="宋体" w:cs="宋体"/>
        </w:rPr>
        <w:t>北区施工总承包工程</w:t>
      </w:r>
    </w:p>
    <w:p>
      <w:pPr>
        <w:spacing w:line="360" w:lineRule="exact"/>
        <w:ind w:firstLine="420" w:firstLineChars="200"/>
        <w:rPr>
          <w:rFonts w:ascii="宋体" w:hAnsi="宋体" w:cs="宋体"/>
        </w:rPr>
      </w:pPr>
      <w:r>
        <w:rPr>
          <w:rFonts w:hint="eastAsia" w:ascii="宋体" w:hAnsi="宋体" w:cs="宋体"/>
        </w:rPr>
        <w:t>（二）工程简介：</w:t>
      </w:r>
    </w:p>
    <w:p>
      <w:pPr>
        <w:spacing w:line="360" w:lineRule="exact"/>
        <w:ind w:firstLine="420" w:firstLineChars="200"/>
        <w:rPr>
          <w:rFonts w:ascii="宋体" w:hAnsi="宋体" w:cs="宋体"/>
        </w:rPr>
      </w:pPr>
      <w:r>
        <w:rPr>
          <w:rFonts w:hint="eastAsia" w:ascii="宋体" w:hAnsi="宋体" w:cs="宋体"/>
        </w:rPr>
        <w:t>北区：3栋公寓（A、B、C座）、1栋酒店及商业裙楼组成。其中1栋A座公寓塔楼地上共31层，高99.45m，建筑面积29312.23㎡；1栋B座公寓塔楼地上共31层，高99.45m，建筑面积33617.12㎡；1栋C座公寓塔楼地上共19层，高63.60m，建筑面积15615.54㎡；1栋酒店塔楼地上共25层，高100.4m，建筑面积29213.20㎡；商业裙楼地上共3层，高15.40m，建筑面积15821.87㎡。工程总用地面积17976.03㎡，总建筑面积达174725.77㎡。南区：1栋办公楼及1栋商业裙房组成。其中1栋办公楼地上共25层，高98.60m，建筑面积39870.00㎡；1栋商业地上共3层，高14.60m，建筑面积8038.38㎡。工程总用地面积为8973.70平米，总建筑面积为65073.00平米。</w:t>
      </w:r>
    </w:p>
    <w:p>
      <w:pPr>
        <w:spacing w:line="360" w:lineRule="exact"/>
        <w:ind w:firstLine="420" w:firstLineChars="200"/>
        <w:rPr>
          <w:rFonts w:ascii="宋体" w:hAnsi="宋体" w:cs="宋体"/>
        </w:rPr>
      </w:pPr>
      <w:r>
        <w:rPr>
          <w:rFonts w:hint="eastAsia" w:ascii="宋体" w:hAnsi="宋体" w:cs="宋体"/>
        </w:rPr>
        <w:t>（三）招标内容：</w:t>
      </w:r>
      <w:bookmarkStart w:id="6" w:name="OLE_LINK1"/>
    </w:p>
    <w:bookmarkEnd w:id="6"/>
    <w:p>
      <w:pPr>
        <w:spacing w:line="360" w:lineRule="exact"/>
        <w:ind w:firstLine="420" w:firstLineChars="200"/>
        <w:rPr>
          <w:rFonts w:ascii="宋体" w:hAnsi="宋体" w:cs="宋体"/>
        </w:rPr>
      </w:pPr>
      <w:r>
        <w:rPr>
          <w:rFonts w:hint="eastAsia" w:ascii="宋体" w:hAnsi="宋体" w:cs="宋体"/>
        </w:rPr>
        <w:t>1、本工程</w:t>
      </w:r>
      <w:r>
        <w:rPr>
          <w:rFonts w:hint="eastAsia" w:ascii="宋体" w:hAnsi="宋体" w:cs="宋体"/>
          <w:u w:val="single"/>
          <w:lang w:eastAsia="zh-CN"/>
        </w:rPr>
        <w:t>变压器</w:t>
      </w:r>
      <w:r>
        <w:rPr>
          <w:rFonts w:hint="eastAsia" w:ascii="宋体" w:hAnsi="宋体" w:cs="宋体"/>
        </w:rPr>
        <w:t>采购技术要求见招标文件第三部分：技术要求（招标文件第三部分）、采购清单部分（招标附件二）</w:t>
      </w:r>
    </w:p>
    <w:p>
      <w:pPr>
        <w:spacing w:line="360" w:lineRule="exact"/>
        <w:ind w:firstLine="420" w:firstLineChars="200"/>
        <w:rPr>
          <w:rFonts w:ascii="宋体" w:hAnsi="宋体" w:cs="宋体"/>
        </w:rPr>
      </w:pPr>
      <w:r>
        <w:rPr>
          <w:rFonts w:hint="eastAsia" w:ascii="宋体" w:hAnsi="宋体" w:cs="宋体"/>
        </w:rPr>
        <w:t>2、品牌要求：见附件三</w:t>
      </w:r>
    </w:p>
    <w:p>
      <w:pPr>
        <w:spacing w:line="360" w:lineRule="exact"/>
        <w:ind w:firstLine="420" w:firstLineChars="200"/>
        <w:rPr>
          <w:rFonts w:ascii="宋体" w:hAnsi="宋体" w:cs="宋体"/>
        </w:rPr>
      </w:pPr>
      <w:r>
        <w:rPr>
          <w:rFonts w:hint="eastAsia" w:ascii="宋体" w:hAnsi="宋体" w:cs="宋体"/>
        </w:rPr>
        <w:t>3、交货时间：按招标方要求时间进场。</w:t>
      </w:r>
    </w:p>
    <w:p>
      <w:pPr>
        <w:spacing w:line="360" w:lineRule="exact"/>
        <w:ind w:firstLine="420" w:firstLineChars="200"/>
        <w:rPr>
          <w:rFonts w:ascii="宋体" w:hAnsi="宋体" w:cs="宋体"/>
        </w:rPr>
      </w:pPr>
      <w:r>
        <w:rPr>
          <w:rFonts w:hint="eastAsia" w:ascii="宋体" w:hAnsi="宋体" w:cs="宋体"/>
        </w:rPr>
        <w:t>4、交货地点：融悦大厦南区北区施工现场内招标人指定地点落地。包括但不限于建筑物内外卸料平台,地下室等位置。</w:t>
      </w:r>
    </w:p>
    <w:p>
      <w:pPr>
        <w:spacing w:line="360" w:lineRule="exact"/>
        <w:ind w:firstLine="420" w:firstLineChars="200"/>
        <w:rPr>
          <w:rFonts w:ascii="宋体" w:hAnsi="宋体" w:cs="宋体"/>
        </w:rPr>
      </w:pPr>
      <w:r>
        <w:rPr>
          <w:rFonts w:hint="eastAsia" w:ascii="宋体" w:hAnsi="宋体" w:cs="宋体"/>
        </w:rPr>
        <w:t>5、保修期：由业主方发出实际竣工证书内所指的实际竣工日期起计24个月。</w:t>
      </w:r>
    </w:p>
    <w:p>
      <w:pPr>
        <w:spacing w:line="360" w:lineRule="exact"/>
        <w:ind w:firstLine="420" w:firstLineChars="200"/>
        <w:rPr>
          <w:rFonts w:ascii="宋体" w:hAnsi="宋体" w:cs="宋体"/>
        </w:rPr>
      </w:pPr>
      <w:r>
        <w:rPr>
          <w:rFonts w:hint="eastAsia" w:ascii="宋体" w:hAnsi="宋体" w:cs="宋体"/>
        </w:rPr>
        <w:t>（四）招标方法：采取公开招标方式。</w:t>
      </w:r>
    </w:p>
    <w:p>
      <w:pPr>
        <w:spacing w:line="360" w:lineRule="exact"/>
        <w:ind w:firstLine="420" w:firstLineChars="200"/>
        <w:rPr>
          <w:rFonts w:ascii="宋体" w:hAnsi="宋体" w:cs="宋体"/>
        </w:rPr>
      </w:pPr>
      <w:r>
        <w:rPr>
          <w:rFonts w:hint="eastAsia" w:ascii="宋体" w:hAnsi="宋体" w:cs="宋体"/>
        </w:rPr>
        <w:t>（五）招标文件获取方法：在“云筑网”（网址：https://auth.yzw.cn）下载。</w:t>
      </w:r>
    </w:p>
    <w:p>
      <w:pPr>
        <w:spacing w:line="360" w:lineRule="exact"/>
        <w:ind w:firstLine="420" w:firstLineChars="200"/>
        <w:rPr>
          <w:rFonts w:ascii="宋体" w:hAnsi="宋体" w:cs="宋体"/>
        </w:rPr>
      </w:pPr>
      <w:r>
        <w:rPr>
          <w:rFonts w:hint="eastAsia" w:ascii="宋体" w:hAnsi="宋体" w:cs="宋体"/>
        </w:rPr>
        <w:t>（六）</w:t>
      </w:r>
      <w:r>
        <w:rPr>
          <w:rFonts w:hint="eastAsia" w:ascii="宋体" w:hAnsi="宋体" w:cs="宋体"/>
          <w:bCs/>
        </w:rPr>
        <w:t>投标资料递交截止日期、开标日期、中标结果公示日期均以“</w:t>
      </w:r>
      <w:r>
        <w:rPr>
          <w:rFonts w:hint="eastAsia" w:ascii="宋体" w:hAnsi="宋体" w:cs="宋体"/>
        </w:rPr>
        <w:t>云筑网”</w:t>
      </w:r>
      <w:r>
        <w:rPr>
          <w:rFonts w:hint="eastAsia" w:ascii="宋体" w:hAnsi="宋体" w:cs="宋体"/>
          <w:bCs/>
        </w:rPr>
        <w:t>公布的时间为准。</w:t>
      </w:r>
    </w:p>
    <w:p>
      <w:pPr>
        <w:spacing w:line="360" w:lineRule="exact"/>
        <w:ind w:firstLine="420" w:firstLineChars="200"/>
        <w:rPr>
          <w:rFonts w:ascii="宋体" w:hAnsi="宋体" w:cs="宋体"/>
        </w:rPr>
      </w:pPr>
      <w:r>
        <w:rPr>
          <w:rFonts w:hint="eastAsia" w:ascii="宋体" w:hAnsi="宋体" w:cs="宋体"/>
        </w:rPr>
        <w:t>（七）线下议标要求：线上报价截止后要求线下议标，议标文件中应包含资信部分、商务部分与技术部分</w:t>
      </w:r>
      <w:r>
        <w:rPr>
          <w:rFonts w:hint="eastAsia" w:ascii="宋体" w:hAnsi="宋体" w:cs="宋体"/>
          <w:b/>
          <w:bCs/>
        </w:rPr>
        <w:t>（一式两份、一正一副，电子版一份）</w:t>
      </w:r>
    </w:p>
    <w:p>
      <w:pPr>
        <w:spacing w:line="360" w:lineRule="exact"/>
        <w:ind w:firstLine="420" w:firstLineChars="200"/>
        <w:rPr>
          <w:rFonts w:ascii="宋体" w:hAnsi="宋体" w:cs="宋体"/>
        </w:rPr>
      </w:pPr>
      <w:r>
        <w:rPr>
          <w:rFonts w:hint="eastAsia" w:ascii="宋体" w:hAnsi="宋体" w:cs="宋体"/>
        </w:rPr>
        <w:t>（八）投标书有效期：为提交投标文件截止日后120天。</w:t>
      </w:r>
    </w:p>
    <w:p>
      <w:pPr>
        <w:spacing w:line="360" w:lineRule="exact"/>
        <w:ind w:firstLine="420" w:firstLineChars="200"/>
        <w:rPr>
          <w:rFonts w:ascii="宋体" w:hAnsi="宋体" w:cs="宋体"/>
          <w:bCs/>
        </w:rPr>
      </w:pPr>
      <w:r>
        <w:rPr>
          <w:rFonts w:hint="eastAsia" w:ascii="宋体" w:hAnsi="宋体" w:cs="宋体"/>
        </w:rPr>
        <w:t>（九）投标费用：</w:t>
      </w:r>
      <w:r>
        <w:rPr>
          <w:rFonts w:hint="eastAsia" w:ascii="宋体" w:hAnsi="宋体" w:cs="宋体"/>
          <w:bCs/>
        </w:rPr>
        <w:t>投标人应自行承担投标过程中的一切费用，不管投标进程或结果如何，投标人均应对招标文件保密。</w:t>
      </w:r>
    </w:p>
    <w:p>
      <w:pPr>
        <w:spacing w:line="360" w:lineRule="exact"/>
        <w:ind w:firstLine="420" w:firstLineChars="200"/>
        <w:rPr>
          <w:rFonts w:ascii="宋体" w:hAnsi="宋体" w:cs="宋体"/>
        </w:rPr>
      </w:pPr>
      <w:r>
        <w:rPr>
          <w:rFonts w:hint="eastAsia" w:ascii="宋体" w:hAnsi="宋体" w:cs="宋体"/>
          <w:bCs/>
        </w:rPr>
        <w:t>（十）投标保证金：（无）</w:t>
      </w:r>
    </w:p>
    <w:p>
      <w:pPr>
        <w:spacing w:line="360" w:lineRule="exact"/>
        <w:ind w:firstLine="420" w:firstLineChars="200"/>
        <w:rPr>
          <w:rFonts w:ascii="宋体" w:hAnsi="宋体" w:cs="宋体"/>
          <w:bCs/>
        </w:rPr>
      </w:pPr>
      <w:r>
        <w:rPr>
          <w:rFonts w:hint="eastAsia" w:ascii="宋体" w:hAnsi="宋体" w:cs="宋体"/>
          <w:bCs/>
        </w:rPr>
        <w:t>（十一）招标及议标：</w:t>
      </w:r>
    </w:p>
    <w:p>
      <w:pPr>
        <w:spacing w:line="360" w:lineRule="exact"/>
        <w:ind w:firstLine="420" w:firstLineChars="200"/>
        <w:rPr>
          <w:rFonts w:ascii="宋体" w:hAnsi="宋体" w:cs="宋体"/>
          <w:bCs/>
        </w:rPr>
      </w:pPr>
      <w:r>
        <w:rPr>
          <w:rFonts w:hint="eastAsia" w:ascii="宋体" w:hAnsi="宋体" w:cs="宋体"/>
          <w:bCs/>
        </w:rPr>
        <w:t>1、线上报名时间：2020年</w:t>
      </w:r>
      <w:r>
        <w:rPr>
          <w:rFonts w:hint="eastAsia" w:ascii="宋体" w:hAnsi="宋体" w:cs="宋体"/>
          <w:bCs/>
          <w:lang w:val="en-US" w:eastAsia="zh-CN"/>
        </w:rPr>
        <w:t>9</w:t>
      </w:r>
      <w:r>
        <w:rPr>
          <w:rFonts w:hint="eastAsia" w:ascii="宋体" w:hAnsi="宋体" w:cs="宋体"/>
          <w:bCs/>
        </w:rPr>
        <w:t>月</w:t>
      </w:r>
      <w:r>
        <w:rPr>
          <w:rFonts w:hint="eastAsia" w:ascii="宋体" w:hAnsi="宋体" w:cs="宋体"/>
          <w:bCs/>
          <w:lang w:val="en-US" w:eastAsia="zh-CN"/>
        </w:rPr>
        <w:t>30</w:t>
      </w:r>
      <w:bookmarkStart w:id="257" w:name="_GoBack"/>
      <w:bookmarkEnd w:id="257"/>
      <w:r>
        <w:rPr>
          <w:rFonts w:hint="eastAsia" w:ascii="宋体" w:hAnsi="宋体" w:cs="宋体"/>
          <w:bCs/>
        </w:rPr>
        <w:t>日</w:t>
      </w:r>
    </w:p>
    <w:p>
      <w:pPr>
        <w:spacing w:line="360" w:lineRule="exact"/>
        <w:ind w:firstLine="420" w:firstLineChars="200"/>
        <w:rPr>
          <w:rFonts w:ascii="宋体" w:hAnsi="宋体" w:cs="宋体"/>
          <w:bCs/>
        </w:rPr>
      </w:pPr>
      <w:r>
        <w:rPr>
          <w:rFonts w:hint="eastAsia" w:ascii="宋体" w:hAnsi="宋体" w:cs="宋体"/>
          <w:bCs/>
        </w:rPr>
        <w:t>2、线下议标地点：</w:t>
      </w:r>
      <w:r>
        <w:rPr>
          <w:rFonts w:hint="eastAsia" w:hAnsi="宋体"/>
          <w:bCs/>
          <w:color w:val="000000"/>
        </w:rPr>
        <w:t>融悦大厦中建一局项目部（广东省深圳市龙岗区惠华路融悦山居）</w:t>
      </w:r>
    </w:p>
    <w:p>
      <w:pPr>
        <w:spacing w:line="360" w:lineRule="exact"/>
        <w:ind w:firstLine="420" w:firstLineChars="200"/>
        <w:rPr>
          <w:rFonts w:ascii="宋体" w:hAnsi="宋体" w:cs="宋体"/>
          <w:bCs/>
        </w:rPr>
      </w:pPr>
      <w:r>
        <w:rPr>
          <w:rFonts w:hint="eastAsia" w:ascii="宋体" w:hAnsi="宋体" w:cs="宋体"/>
          <w:bCs/>
        </w:rPr>
        <w:t>3、线下议标时间：2020年</w:t>
      </w:r>
      <w:r>
        <w:rPr>
          <w:rFonts w:hint="eastAsia" w:ascii="宋体" w:hAnsi="宋体" w:cs="宋体"/>
          <w:bCs/>
          <w:lang w:val="en-US" w:eastAsia="zh-CN"/>
        </w:rPr>
        <w:t>10</w:t>
      </w:r>
      <w:r>
        <w:rPr>
          <w:rFonts w:hint="eastAsia" w:ascii="宋体" w:hAnsi="宋体" w:cs="宋体"/>
          <w:bCs/>
        </w:rPr>
        <w:t>月</w:t>
      </w:r>
      <w:r>
        <w:rPr>
          <w:rFonts w:hint="eastAsia" w:ascii="宋体" w:hAnsi="宋体" w:cs="宋体"/>
          <w:bCs/>
          <w:lang w:val="en-US" w:eastAsia="zh-CN"/>
        </w:rPr>
        <w:t>20</w:t>
      </w:r>
      <w:r>
        <w:rPr>
          <w:rFonts w:hint="eastAsia" w:ascii="宋体" w:hAnsi="宋体" w:cs="宋体"/>
          <w:bCs/>
        </w:rPr>
        <w:t>日</w:t>
      </w:r>
    </w:p>
    <w:p>
      <w:pPr>
        <w:spacing w:line="360" w:lineRule="exact"/>
        <w:ind w:firstLine="420" w:firstLineChars="200"/>
        <w:rPr>
          <w:rFonts w:ascii="宋体" w:hAnsi="宋体" w:cs="宋体"/>
          <w:bCs/>
        </w:rPr>
      </w:pPr>
      <w:r>
        <w:rPr>
          <w:rFonts w:hint="eastAsia" w:ascii="宋体" w:hAnsi="宋体" w:cs="宋体"/>
          <w:bCs/>
        </w:rPr>
        <w:t>4、联系人：</w:t>
      </w:r>
      <w:r>
        <w:rPr>
          <w:rFonts w:hint="eastAsia" w:ascii="宋体" w:hAnsi="宋体" w:cs="宋体"/>
          <w:bCs/>
          <w:lang w:val="en-US" w:eastAsia="zh-CN"/>
        </w:rPr>
        <w:t>周萍</w:t>
      </w:r>
      <w:r>
        <w:rPr>
          <w:rFonts w:hint="eastAsia" w:ascii="宋体" w:hAnsi="宋体" w:cs="宋体"/>
          <w:bCs/>
        </w:rPr>
        <w:t xml:space="preserve"> 电话：</w:t>
      </w:r>
      <w:r>
        <w:rPr>
          <w:rFonts w:hint="eastAsia" w:ascii="宋体" w:hAnsi="宋体" w:cs="宋体"/>
          <w:bCs/>
          <w:lang w:val="en-US" w:eastAsia="zh-CN"/>
        </w:rPr>
        <w:t>18289666040</w:t>
      </w:r>
      <w:r>
        <w:rPr>
          <w:rFonts w:ascii="宋体" w:hAnsi="宋体" w:cs="宋体"/>
          <w:bCs/>
        </w:rPr>
        <w:t xml:space="preserve">  </w:t>
      </w:r>
      <w:r>
        <w:rPr>
          <w:rFonts w:hint="eastAsia" w:ascii="宋体" w:hAnsi="宋体" w:cs="宋体"/>
          <w:bCs/>
        </w:rPr>
        <w:t>邮箱：</w:t>
      </w:r>
    </w:p>
    <w:p>
      <w:pPr>
        <w:pStyle w:val="50"/>
        <w:spacing w:line="360" w:lineRule="exact"/>
        <w:ind w:firstLine="420" w:firstLineChars="200"/>
        <w:jc w:val="right"/>
        <w:rPr>
          <w:rFonts w:ascii="宋体" w:hAnsi="宋体" w:eastAsia="宋体" w:cs="宋体"/>
          <w:bCs/>
          <w:color w:val="auto"/>
          <w:sz w:val="21"/>
          <w:szCs w:val="21"/>
        </w:rPr>
      </w:pPr>
      <w:r>
        <w:rPr>
          <w:rFonts w:hint="eastAsia" w:ascii="宋体" w:hAnsi="宋体" w:eastAsia="宋体" w:cs="宋体"/>
          <w:bCs/>
          <w:color w:val="auto"/>
          <w:sz w:val="21"/>
          <w:szCs w:val="21"/>
        </w:rPr>
        <w:t>中国建筑一局（集团）有限公司</w:t>
      </w:r>
    </w:p>
    <w:p>
      <w:pPr>
        <w:pStyle w:val="50"/>
        <w:spacing w:line="360" w:lineRule="exact"/>
        <w:ind w:firstLine="420" w:firstLineChars="200"/>
        <w:jc w:val="right"/>
        <w:rPr>
          <w:rFonts w:ascii="宋体" w:hAnsi="宋体" w:eastAsia="宋体" w:cs="宋体"/>
          <w:bCs/>
          <w:color w:val="auto"/>
          <w:kern w:val="2"/>
          <w:sz w:val="21"/>
          <w:szCs w:val="21"/>
        </w:rPr>
      </w:pPr>
      <w:r>
        <w:rPr>
          <w:rFonts w:hint="eastAsia" w:ascii="宋体" w:hAnsi="宋体" w:eastAsia="宋体" w:cs="宋体"/>
          <w:bCs/>
          <w:color w:val="auto"/>
          <w:kern w:val="2"/>
          <w:sz w:val="21"/>
          <w:szCs w:val="21"/>
        </w:rPr>
        <w:t xml:space="preserve"> 2020年</w:t>
      </w:r>
      <w:r>
        <w:rPr>
          <w:rFonts w:hint="eastAsia" w:ascii="宋体" w:hAnsi="宋体" w:eastAsia="宋体" w:cs="宋体"/>
          <w:bCs/>
          <w:color w:val="auto"/>
          <w:kern w:val="2"/>
          <w:sz w:val="21"/>
          <w:szCs w:val="21"/>
          <w:lang w:val="en-US" w:eastAsia="zh-CN"/>
        </w:rPr>
        <w:t>9</w:t>
      </w:r>
      <w:r>
        <w:rPr>
          <w:rFonts w:hint="eastAsia" w:ascii="宋体" w:hAnsi="宋体" w:eastAsia="宋体" w:cs="宋体"/>
          <w:bCs/>
          <w:color w:val="auto"/>
          <w:kern w:val="2"/>
          <w:sz w:val="21"/>
          <w:szCs w:val="21"/>
        </w:rPr>
        <w:t>月2</w:t>
      </w:r>
      <w:r>
        <w:rPr>
          <w:rFonts w:hint="eastAsia" w:ascii="宋体" w:hAnsi="宋体" w:eastAsia="宋体" w:cs="宋体"/>
          <w:bCs/>
          <w:color w:val="auto"/>
          <w:kern w:val="2"/>
          <w:sz w:val="21"/>
          <w:szCs w:val="21"/>
          <w:lang w:val="en-US" w:eastAsia="zh-CN"/>
        </w:rPr>
        <w:t>7</w:t>
      </w:r>
      <w:r>
        <w:rPr>
          <w:rFonts w:hint="eastAsia" w:ascii="宋体" w:hAnsi="宋体" w:eastAsia="宋体" w:cs="宋体"/>
          <w:bCs/>
          <w:color w:val="auto"/>
          <w:kern w:val="2"/>
          <w:sz w:val="21"/>
          <w:szCs w:val="21"/>
        </w:rPr>
        <w:t>日</w:t>
      </w:r>
    </w:p>
    <w:p>
      <w:pPr>
        <w:pStyle w:val="50"/>
        <w:jc w:val="both"/>
        <w:rPr>
          <w:rFonts w:ascii="仿宋" w:hAnsi="仿宋" w:eastAsia="仿宋_GB2312" w:cs="Times New Roman"/>
          <w:bCs/>
          <w:color w:val="auto"/>
          <w:kern w:val="2"/>
          <w:sz w:val="21"/>
          <w:szCs w:val="21"/>
        </w:rPr>
        <w:sectPr>
          <w:footerReference r:id="rId8" w:type="default"/>
          <w:pgSz w:w="11907" w:h="16840"/>
          <w:pgMar w:top="1440" w:right="1123" w:bottom="1440" w:left="1123" w:header="851" w:footer="851" w:gutter="0"/>
          <w:pgNumType w:start="1"/>
          <w:cols w:space="720" w:num="1"/>
          <w:docGrid w:linePitch="312" w:charSpace="0"/>
        </w:sectPr>
      </w:pPr>
    </w:p>
    <w:p>
      <w:pPr>
        <w:pStyle w:val="12"/>
        <w:spacing w:line="360" w:lineRule="exact"/>
        <w:ind w:left="0" w:leftChars="0" w:firstLine="602" w:firstLineChars="200"/>
        <w:jc w:val="center"/>
        <w:outlineLvl w:val="0"/>
        <w:rPr>
          <w:rFonts w:ascii="宋体" w:hAnsi="宋体"/>
          <w:b/>
          <w:bCs/>
          <w:sz w:val="30"/>
          <w:szCs w:val="30"/>
        </w:rPr>
      </w:pPr>
      <w:bookmarkStart w:id="7" w:name="_Toc21707"/>
      <w:bookmarkStart w:id="8" w:name="_Toc22797"/>
      <w:bookmarkStart w:id="9" w:name="_Toc19058"/>
      <w:bookmarkStart w:id="10" w:name="_Toc30343"/>
      <w:bookmarkStart w:id="11" w:name="_Toc8925"/>
      <w:bookmarkStart w:id="12" w:name="_Toc7796"/>
      <w:r>
        <w:rPr>
          <w:rFonts w:hint="eastAsia" w:ascii="宋体" w:hAnsi="宋体" w:cs="宋体"/>
          <w:b/>
          <w:bCs/>
          <w:sz w:val="30"/>
          <w:szCs w:val="30"/>
        </w:rPr>
        <w:t>第二部分投标须知</w:t>
      </w:r>
      <w:bookmarkEnd w:id="7"/>
      <w:bookmarkEnd w:id="8"/>
      <w:bookmarkEnd w:id="9"/>
      <w:bookmarkEnd w:id="10"/>
      <w:bookmarkEnd w:id="11"/>
      <w:bookmarkEnd w:id="12"/>
    </w:p>
    <w:p>
      <w:pPr>
        <w:numPr>
          <w:ilvl w:val="0"/>
          <w:numId w:val="3"/>
        </w:numPr>
        <w:spacing w:before="120" w:beforeLines="50" w:after="120" w:afterLines="50" w:line="360" w:lineRule="exact"/>
        <w:ind w:firstLine="422" w:firstLineChars="200"/>
        <w:outlineLvl w:val="1"/>
        <w:rPr>
          <w:rFonts w:ascii="宋体" w:hAnsi="宋体"/>
          <w:b/>
          <w:bCs/>
        </w:rPr>
      </w:pPr>
      <w:bookmarkStart w:id="13" w:name="_Toc12547"/>
      <w:bookmarkStart w:id="14" w:name="_Toc26110"/>
      <w:bookmarkStart w:id="15" w:name="_Toc32569"/>
      <w:bookmarkStart w:id="16" w:name="_Toc29191"/>
      <w:bookmarkStart w:id="17" w:name="_Toc8472"/>
      <w:bookmarkStart w:id="18" w:name="_Toc22238"/>
      <w:r>
        <w:rPr>
          <w:rFonts w:hint="eastAsia" w:ascii="宋体" w:hAnsi="宋体" w:cs="方正细圆简体"/>
          <w:b/>
          <w:bCs/>
        </w:rPr>
        <w:t>适用范围</w:t>
      </w:r>
      <w:bookmarkEnd w:id="13"/>
      <w:bookmarkEnd w:id="14"/>
      <w:bookmarkEnd w:id="15"/>
      <w:bookmarkEnd w:id="16"/>
      <w:bookmarkEnd w:id="17"/>
      <w:bookmarkEnd w:id="18"/>
    </w:p>
    <w:p>
      <w:pPr>
        <w:spacing w:line="360" w:lineRule="exact"/>
        <w:ind w:left="359" w:leftChars="171" w:firstLine="420" w:firstLineChars="200"/>
        <w:rPr>
          <w:rFonts w:ascii="宋体" w:hAnsi="宋体"/>
        </w:rPr>
      </w:pPr>
      <w:r>
        <w:rPr>
          <w:rFonts w:hint="eastAsia" w:ascii="宋体" w:hAnsi="宋体" w:cs="方正细圆简体"/>
        </w:rPr>
        <w:t>本招标文件仅适用于本招标文件中所叙述的</w:t>
      </w:r>
      <w:r>
        <w:rPr>
          <w:rFonts w:hint="eastAsia" w:ascii="宋体" w:hAnsi="宋体" w:cs="方正细圆简体"/>
          <w:u w:val="single"/>
          <w:lang w:eastAsia="zh-CN"/>
        </w:rPr>
        <w:t>变压器</w:t>
      </w:r>
      <w:r>
        <w:rPr>
          <w:rFonts w:hint="eastAsia" w:ascii="宋体" w:hAnsi="宋体" w:cs="方正细圆简体"/>
        </w:rPr>
        <w:t>采购及其相关服务。</w:t>
      </w:r>
    </w:p>
    <w:p>
      <w:pPr>
        <w:numPr>
          <w:ilvl w:val="0"/>
          <w:numId w:val="3"/>
        </w:numPr>
        <w:spacing w:before="120" w:beforeLines="50" w:after="120" w:afterLines="50" w:line="360" w:lineRule="exact"/>
        <w:ind w:firstLine="422" w:firstLineChars="200"/>
        <w:outlineLvl w:val="1"/>
        <w:rPr>
          <w:rFonts w:ascii="宋体" w:hAnsi="宋体"/>
          <w:b/>
          <w:bCs/>
        </w:rPr>
      </w:pPr>
      <w:bookmarkStart w:id="19" w:name="_Toc25735"/>
      <w:bookmarkStart w:id="20" w:name="_Toc27422"/>
      <w:bookmarkStart w:id="21" w:name="_Toc1483"/>
      <w:bookmarkStart w:id="22" w:name="_Toc25026"/>
      <w:bookmarkStart w:id="23" w:name="_Toc24991"/>
      <w:bookmarkStart w:id="24" w:name="_Toc31798"/>
      <w:r>
        <w:rPr>
          <w:rFonts w:hint="eastAsia" w:ascii="宋体" w:hAnsi="宋体" w:cs="方正细圆简体"/>
          <w:b/>
          <w:bCs/>
        </w:rPr>
        <w:t>定义</w:t>
      </w:r>
      <w:bookmarkEnd w:id="19"/>
      <w:bookmarkEnd w:id="20"/>
      <w:bookmarkEnd w:id="21"/>
      <w:bookmarkEnd w:id="22"/>
      <w:bookmarkEnd w:id="23"/>
      <w:bookmarkEnd w:id="24"/>
    </w:p>
    <w:p>
      <w:pPr>
        <w:tabs>
          <w:tab w:val="left" w:pos="1050"/>
        </w:tabs>
        <w:spacing w:line="360" w:lineRule="exact"/>
        <w:ind w:firstLine="420" w:firstLineChars="200"/>
        <w:rPr>
          <w:rFonts w:ascii="宋体" w:hAnsi="宋体" w:cs="方正细圆简体"/>
        </w:rPr>
      </w:pPr>
      <w:bookmarkStart w:id="25" w:name="_Toc29475"/>
      <w:r>
        <w:rPr>
          <w:rFonts w:hint="eastAsia" w:ascii="宋体" w:hAnsi="宋体" w:cs="方正细圆简体"/>
        </w:rPr>
        <w:t>2.1“招标人”是指中国建筑一局（集团）有限公司（以下简称招标人）。</w:t>
      </w:r>
      <w:bookmarkEnd w:id="25"/>
    </w:p>
    <w:p>
      <w:pPr>
        <w:tabs>
          <w:tab w:val="left" w:pos="1050"/>
        </w:tabs>
        <w:spacing w:line="360" w:lineRule="exact"/>
        <w:ind w:firstLine="420" w:firstLineChars="200"/>
        <w:rPr>
          <w:rFonts w:ascii="宋体" w:hAnsi="宋体" w:cs="方正细圆简体"/>
        </w:rPr>
      </w:pPr>
      <w:bookmarkStart w:id="26" w:name="_Toc19479"/>
      <w:r>
        <w:rPr>
          <w:rFonts w:hint="eastAsia" w:ascii="宋体" w:hAnsi="宋体" w:cs="方正细圆简体"/>
        </w:rPr>
        <w:t>2.2“投标人”是指参加投标的制造厂或供应商。</w:t>
      </w:r>
      <w:bookmarkEnd w:id="26"/>
    </w:p>
    <w:p>
      <w:pPr>
        <w:tabs>
          <w:tab w:val="left" w:pos="1050"/>
        </w:tabs>
        <w:spacing w:line="360" w:lineRule="exact"/>
        <w:ind w:firstLine="420" w:firstLineChars="200"/>
        <w:rPr>
          <w:rFonts w:ascii="宋体" w:hAnsi="宋体" w:cs="方正细圆简体"/>
        </w:rPr>
      </w:pPr>
      <w:r>
        <w:rPr>
          <w:rFonts w:hint="eastAsia" w:ascii="宋体" w:hAnsi="宋体" w:cs="方正细圆简体"/>
        </w:rPr>
        <w:t>2.3“货物”系指按招标文件要求，投标人向招标人提供的一切货物、易损件、备品备件、附件、专用工具、手册、技术文件及其他资料和材料。</w:t>
      </w:r>
    </w:p>
    <w:p>
      <w:pPr>
        <w:tabs>
          <w:tab w:val="left" w:pos="1050"/>
        </w:tabs>
        <w:spacing w:line="360" w:lineRule="exact"/>
        <w:ind w:firstLine="420" w:firstLineChars="200"/>
        <w:rPr>
          <w:rFonts w:ascii="宋体" w:hAnsi="宋体"/>
        </w:rPr>
      </w:pPr>
      <w:r>
        <w:rPr>
          <w:rFonts w:hint="eastAsia" w:ascii="宋体" w:hAnsi="宋体" w:cs="方正细圆简体"/>
        </w:rPr>
        <w:t>2.4“服务”系指按本招标文件要求，投标人必须承担的安装指导、技术协助、售后服务、培训及其他类似义务。</w:t>
      </w:r>
    </w:p>
    <w:p>
      <w:pPr>
        <w:numPr>
          <w:ilvl w:val="0"/>
          <w:numId w:val="3"/>
        </w:numPr>
        <w:spacing w:before="120" w:beforeLines="50" w:after="120" w:afterLines="50" w:line="360" w:lineRule="exact"/>
        <w:ind w:firstLine="422" w:firstLineChars="200"/>
        <w:outlineLvl w:val="1"/>
        <w:rPr>
          <w:rFonts w:ascii="宋体" w:hAnsi="宋体"/>
          <w:b/>
          <w:bCs/>
        </w:rPr>
      </w:pPr>
      <w:bookmarkStart w:id="27" w:name="_Toc17070"/>
      <w:bookmarkStart w:id="28" w:name="_Toc21938"/>
      <w:bookmarkStart w:id="29" w:name="_Toc2208"/>
      <w:bookmarkStart w:id="30" w:name="_Toc23769"/>
      <w:bookmarkStart w:id="31" w:name="_Toc13377"/>
      <w:bookmarkStart w:id="32" w:name="_Toc29299"/>
      <w:r>
        <w:rPr>
          <w:rFonts w:hint="eastAsia" w:ascii="宋体" w:hAnsi="宋体" w:cs="方正细圆简体"/>
          <w:b/>
          <w:bCs/>
        </w:rPr>
        <w:t>投标单位资格与合格条件要求</w:t>
      </w:r>
      <w:bookmarkEnd w:id="27"/>
      <w:bookmarkEnd w:id="28"/>
      <w:bookmarkEnd w:id="29"/>
      <w:bookmarkEnd w:id="30"/>
      <w:bookmarkEnd w:id="31"/>
      <w:bookmarkEnd w:id="32"/>
    </w:p>
    <w:p>
      <w:pPr>
        <w:tabs>
          <w:tab w:val="left" w:pos="1050"/>
          <w:tab w:val="left" w:pos="1197"/>
        </w:tabs>
        <w:spacing w:line="360" w:lineRule="exact"/>
        <w:ind w:firstLine="420" w:firstLineChars="200"/>
        <w:rPr>
          <w:rFonts w:ascii="宋体" w:hAnsi="宋体" w:cs="方正细圆简体"/>
        </w:rPr>
      </w:pPr>
      <w:bookmarkStart w:id="33" w:name="_Toc7596"/>
      <w:bookmarkStart w:id="34" w:name="_Toc28040"/>
      <w:bookmarkStart w:id="35" w:name="_Toc6877"/>
      <w:r>
        <w:rPr>
          <w:rFonts w:hint="eastAsia" w:ascii="宋体" w:hAnsi="宋体" w:cs="方正细圆简体"/>
        </w:rPr>
        <w:t>投标单位必须是中国建筑一局（集团）有限公司合格供应商名录内的供应商（截止开标前）。</w:t>
      </w:r>
      <w:bookmarkEnd w:id="33"/>
      <w:bookmarkEnd w:id="34"/>
      <w:bookmarkEnd w:id="35"/>
    </w:p>
    <w:p>
      <w:pPr>
        <w:tabs>
          <w:tab w:val="left" w:pos="1050"/>
          <w:tab w:val="left" w:pos="1197"/>
        </w:tabs>
        <w:spacing w:line="360" w:lineRule="exact"/>
        <w:ind w:firstLine="420" w:firstLineChars="200"/>
        <w:rPr>
          <w:rFonts w:ascii="宋体" w:hAnsi="宋体"/>
        </w:rPr>
      </w:pPr>
      <w:r>
        <w:rPr>
          <w:rFonts w:hint="eastAsia" w:ascii="宋体" w:hAnsi="宋体" w:cs="方正细圆简体"/>
        </w:rPr>
        <w:t>3.1具备独立法律主体资格的</w:t>
      </w:r>
      <w:r>
        <w:rPr>
          <w:rFonts w:hint="eastAsia" w:ascii="宋体" w:hAnsi="宋体" w:cs="方正细圆简体"/>
          <w:u w:val="single"/>
          <w:lang w:val="en-US" w:eastAsia="zh-CN"/>
        </w:rPr>
        <w:t>变压器</w:t>
      </w:r>
      <w:r>
        <w:rPr>
          <w:rFonts w:hint="eastAsia" w:ascii="宋体" w:hAnsi="宋体" w:cs="方正细圆简体"/>
          <w:u w:val="single"/>
        </w:rPr>
        <w:t>材料设备</w:t>
      </w:r>
      <w:r>
        <w:rPr>
          <w:rFonts w:hint="eastAsia" w:ascii="宋体" w:hAnsi="宋体" w:cs="方正细圆简体"/>
        </w:rPr>
        <w:t>生产厂家或生产厂家独资的销售公司，且有相应的供货、服务能力的公司。</w:t>
      </w:r>
    </w:p>
    <w:p>
      <w:pPr>
        <w:tabs>
          <w:tab w:val="left" w:pos="1050"/>
          <w:tab w:val="left" w:pos="1197"/>
        </w:tabs>
        <w:spacing w:line="360" w:lineRule="exact"/>
        <w:ind w:firstLine="420" w:firstLineChars="200"/>
        <w:rPr>
          <w:rFonts w:ascii="宋体" w:hAnsi="宋体"/>
        </w:rPr>
      </w:pPr>
      <w:r>
        <w:rPr>
          <w:rFonts w:hint="eastAsia" w:ascii="宋体" w:hAnsi="宋体" w:cs="方正细圆简体"/>
        </w:rPr>
        <w:t>3.2具备国家有关部门、行业要求必须取得的质量、计量、安全、环保认证及其他经营许可；在国家有关部门和行业的监督检查中没有不良记录；与一局集团各子企业没有不良合作记录。</w:t>
      </w:r>
    </w:p>
    <w:p>
      <w:pPr>
        <w:tabs>
          <w:tab w:val="left" w:pos="1050"/>
          <w:tab w:val="left" w:pos="1197"/>
        </w:tabs>
        <w:spacing w:line="360" w:lineRule="exact"/>
        <w:ind w:firstLine="420" w:firstLineChars="200"/>
        <w:rPr>
          <w:rFonts w:ascii="宋体" w:hAnsi="宋体"/>
        </w:rPr>
      </w:pPr>
      <w:r>
        <w:rPr>
          <w:rFonts w:hint="eastAsia" w:ascii="宋体" w:hAnsi="宋体"/>
        </w:rPr>
        <w:t>3.3</w:t>
      </w:r>
      <w:r>
        <w:rPr>
          <w:rFonts w:hint="eastAsia" w:ascii="宋体" w:hAnsi="宋体" w:cs="方正细圆简体"/>
        </w:rPr>
        <w:t>具有一定的经营规模和服务能力，生产厂家注册资金不少于500万元（含），销售公司注册资金不少于100万元（含）。</w:t>
      </w:r>
    </w:p>
    <w:p>
      <w:pPr>
        <w:tabs>
          <w:tab w:val="left" w:pos="1050"/>
          <w:tab w:val="left" w:pos="1197"/>
        </w:tabs>
        <w:spacing w:line="360" w:lineRule="exact"/>
        <w:ind w:firstLine="420" w:firstLineChars="200"/>
        <w:rPr>
          <w:rFonts w:ascii="宋体" w:hAnsi="宋体"/>
        </w:rPr>
      </w:pPr>
      <w:r>
        <w:rPr>
          <w:rFonts w:hint="eastAsia" w:ascii="宋体" w:hAnsi="宋体"/>
        </w:rPr>
        <w:t>3.4</w:t>
      </w:r>
      <w:r>
        <w:rPr>
          <w:rFonts w:hint="eastAsia" w:ascii="宋体" w:hAnsi="宋体" w:cs="方正细圆简体"/>
        </w:rPr>
        <w:t>具有良好的商业信誉和健全的财务会计制度，技术和生产能力，具有一般纳税人资格，能开增值税专用发票。</w:t>
      </w:r>
    </w:p>
    <w:p>
      <w:pPr>
        <w:tabs>
          <w:tab w:val="left" w:pos="1050"/>
          <w:tab w:val="left" w:pos="1197"/>
        </w:tabs>
        <w:spacing w:line="360" w:lineRule="exact"/>
        <w:ind w:firstLine="420" w:firstLineChars="200"/>
        <w:rPr>
          <w:rFonts w:ascii="宋体" w:hAnsi="宋体"/>
        </w:rPr>
      </w:pPr>
      <w:r>
        <w:rPr>
          <w:rFonts w:hint="eastAsia" w:ascii="宋体" w:hAnsi="宋体"/>
        </w:rPr>
        <w:t>3.5</w:t>
      </w:r>
      <w:r>
        <w:rPr>
          <w:rFonts w:hint="eastAsia" w:ascii="宋体" w:hAnsi="宋体" w:cs="方正细圆简体"/>
        </w:rPr>
        <w:t>投标人供应范围和服务能力根据具体采购合同约定条款分批送货到指定地点。</w:t>
      </w:r>
    </w:p>
    <w:p>
      <w:pPr>
        <w:tabs>
          <w:tab w:val="left" w:pos="1050"/>
          <w:tab w:val="left" w:pos="1197"/>
        </w:tabs>
        <w:spacing w:line="360" w:lineRule="exact"/>
        <w:ind w:firstLine="420" w:firstLineChars="200"/>
        <w:rPr>
          <w:rFonts w:ascii="宋体" w:hAnsi="宋体"/>
        </w:rPr>
      </w:pPr>
      <w:r>
        <w:rPr>
          <w:rFonts w:hint="eastAsia" w:ascii="宋体" w:hAnsi="宋体"/>
        </w:rPr>
        <w:t>3.6</w:t>
      </w:r>
      <w:r>
        <w:rPr>
          <w:rFonts w:hint="eastAsia" w:ascii="宋体" w:hAnsi="宋体" w:cs="方正细圆简体"/>
        </w:rPr>
        <w:t>产品必须是本厂生产，不得分包、转包、分厂、协作厂加工生产，招标人根据生产进度随时进厂检查。</w:t>
      </w:r>
    </w:p>
    <w:p>
      <w:pPr>
        <w:tabs>
          <w:tab w:val="left" w:pos="1050"/>
          <w:tab w:val="left" w:pos="1197"/>
        </w:tabs>
        <w:spacing w:line="360" w:lineRule="exact"/>
        <w:ind w:firstLine="420" w:firstLineChars="200"/>
        <w:rPr>
          <w:rFonts w:ascii="宋体" w:hAnsi="宋体"/>
        </w:rPr>
      </w:pPr>
      <w:r>
        <w:rPr>
          <w:rFonts w:hint="eastAsia" w:ascii="宋体" w:hAnsi="宋体"/>
        </w:rPr>
        <w:t>3.7</w:t>
      </w:r>
      <w:r>
        <w:rPr>
          <w:rFonts w:hint="eastAsia" w:ascii="宋体" w:hAnsi="宋体" w:cs="方正细圆简体"/>
        </w:rPr>
        <w:t>投标人应具有在深圳市（工程所在地）进行所售产品长期的售后、保养、维修服务的能力。</w:t>
      </w:r>
    </w:p>
    <w:p>
      <w:pPr>
        <w:tabs>
          <w:tab w:val="left" w:pos="1050"/>
          <w:tab w:val="left" w:pos="1197"/>
        </w:tabs>
        <w:spacing w:line="360" w:lineRule="exact"/>
        <w:ind w:firstLine="420" w:firstLineChars="200"/>
        <w:rPr>
          <w:rFonts w:ascii="宋体" w:hAnsi="宋体"/>
        </w:rPr>
      </w:pPr>
      <w:r>
        <w:rPr>
          <w:rFonts w:hint="eastAsia" w:ascii="宋体" w:hAnsi="宋体"/>
        </w:rPr>
        <w:t>3.8</w:t>
      </w:r>
      <w:r>
        <w:rPr>
          <w:rFonts w:hint="eastAsia" w:ascii="宋体" w:hAnsi="宋体" w:cs="方正细圆简体"/>
        </w:rPr>
        <w:t>投标人应具有类似项目供货的历史和业绩。</w:t>
      </w:r>
    </w:p>
    <w:p>
      <w:pPr>
        <w:tabs>
          <w:tab w:val="left" w:pos="1050"/>
          <w:tab w:val="left" w:pos="1197"/>
        </w:tabs>
        <w:spacing w:line="360" w:lineRule="exact"/>
        <w:ind w:firstLine="420" w:firstLineChars="200"/>
        <w:rPr>
          <w:rFonts w:ascii="宋体" w:hAnsi="宋体"/>
        </w:rPr>
      </w:pPr>
      <w:r>
        <w:rPr>
          <w:rFonts w:hint="eastAsia" w:ascii="宋体" w:hAnsi="宋体"/>
        </w:rPr>
        <w:t>3.9</w:t>
      </w:r>
      <w:r>
        <w:rPr>
          <w:rFonts w:hint="eastAsia" w:ascii="宋体" w:hAnsi="宋体" w:cs="方正细圆简体"/>
        </w:rPr>
        <w:t>投标人代表：负责本项目投标的投标人代表，必须是投标单位的法人代表或持有法人代表亲自签署授权委托书的代理人。</w:t>
      </w:r>
    </w:p>
    <w:p>
      <w:pPr>
        <w:numPr>
          <w:ilvl w:val="0"/>
          <w:numId w:val="3"/>
        </w:numPr>
        <w:spacing w:before="120" w:beforeLines="50" w:after="120" w:afterLines="50" w:line="360" w:lineRule="exact"/>
        <w:ind w:firstLine="422" w:firstLineChars="200"/>
        <w:outlineLvl w:val="1"/>
        <w:rPr>
          <w:rFonts w:ascii="宋体" w:hAnsi="宋体"/>
          <w:b/>
          <w:bCs/>
        </w:rPr>
      </w:pPr>
      <w:bookmarkStart w:id="36" w:name="_Toc285"/>
      <w:bookmarkStart w:id="37" w:name="_Toc32599"/>
      <w:bookmarkStart w:id="38" w:name="_Toc30379"/>
      <w:bookmarkStart w:id="39" w:name="_Toc7062"/>
      <w:bookmarkStart w:id="40" w:name="_Toc26094"/>
      <w:bookmarkStart w:id="41" w:name="_Toc23864"/>
      <w:r>
        <w:rPr>
          <w:rFonts w:hint="eastAsia" w:ascii="宋体" w:hAnsi="宋体" w:cs="方正细圆简体"/>
          <w:b/>
          <w:bCs/>
        </w:rPr>
        <w:t>招标文件的构成</w:t>
      </w:r>
      <w:bookmarkEnd w:id="36"/>
      <w:bookmarkEnd w:id="37"/>
      <w:bookmarkEnd w:id="38"/>
      <w:bookmarkEnd w:id="39"/>
      <w:bookmarkEnd w:id="40"/>
      <w:bookmarkEnd w:id="41"/>
    </w:p>
    <w:p>
      <w:pPr>
        <w:spacing w:line="360" w:lineRule="exact"/>
        <w:ind w:firstLine="420" w:firstLineChars="200"/>
        <w:rPr>
          <w:rFonts w:ascii="宋体" w:hAnsi="宋体" w:cs="方正细圆简体"/>
        </w:rPr>
      </w:pPr>
      <w:r>
        <w:rPr>
          <w:rFonts w:hint="eastAsia" w:ascii="宋体" w:hAnsi="宋体" w:cs="方正细圆简体"/>
        </w:rPr>
        <w:t>4.1招标文件（电子版一份）</w:t>
      </w:r>
    </w:p>
    <w:p>
      <w:pPr>
        <w:spacing w:line="360" w:lineRule="exact"/>
        <w:ind w:firstLine="420" w:firstLineChars="200"/>
        <w:rPr>
          <w:rFonts w:ascii="宋体" w:hAnsi="宋体"/>
          <w:bCs/>
        </w:rPr>
      </w:pPr>
      <w:r>
        <w:rPr>
          <w:rFonts w:hint="eastAsia" w:ascii="宋体" w:hAnsi="宋体"/>
        </w:rPr>
        <w:t>附件一：</w:t>
      </w:r>
      <w:r>
        <w:rPr>
          <w:rFonts w:hint="eastAsia" w:ascii="宋体" w:hAnsi="宋体"/>
          <w:bCs/>
        </w:rPr>
        <w:t>招标合同文本</w:t>
      </w:r>
    </w:p>
    <w:p>
      <w:pPr>
        <w:spacing w:line="360" w:lineRule="exact"/>
        <w:ind w:firstLine="420" w:firstLineChars="200"/>
        <w:rPr>
          <w:rFonts w:ascii="宋体" w:hAnsi="宋体"/>
          <w:bCs/>
        </w:rPr>
      </w:pPr>
      <w:r>
        <w:rPr>
          <w:rFonts w:hint="eastAsia" w:ascii="宋体" w:hAnsi="宋体" w:cs="方正细圆简体"/>
        </w:rPr>
        <w:t>附件二：</w:t>
      </w:r>
      <w:r>
        <w:rPr>
          <w:rFonts w:hint="eastAsia" w:ascii="宋体" w:hAnsi="宋体" w:cs="方正细圆简体"/>
          <w:bCs/>
        </w:rPr>
        <w:t>采购清单</w:t>
      </w:r>
    </w:p>
    <w:p>
      <w:pPr>
        <w:spacing w:line="360" w:lineRule="exact"/>
        <w:ind w:firstLine="420" w:firstLineChars="200"/>
        <w:rPr>
          <w:rFonts w:ascii="宋体" w:hAnsi="宋体"/>
          <w:bCs/>
        </w:rPr>
      </w:pPr>
      <w:r>
        <w:rPr>
          <w:rFonts w:hint="eastAsia" w:ascii="宋体" w:hAnsi="宋体" w:cs="方正细圆简体"/>
        </w:rPr>
        <w:t>附件三：</w:t>
      </w:r>
      <w:r>
        <w:rPr>
          <w:rFonts w:hint="eastAsia" w:ascii="宋体" w:hAnsi="宋体"/>
          <w:bCs/>
        </w:rPr>
        <w:t>全套采购图纸（电子版）</w:t>
      </w:r>
    </w:p>
    <w:p>
      <w:pPr>
        <w:spacing w:line="360" w:lineRule="exact"/>
        <w:ind w:firstLine="420" w:firstLineChars="200"/>
        <w:rPr>
          <w:rFonts w:ascii="宋体" w:hAnsi="宋体"/>
          <w:bCs/>
        </w:rPr>
      </w:pPr>
      <w:r>
        <w:rPr>
          <w:rFonts w:hint="eastAsia" w:ascii="宋体" w:hAnsi="宋体" w:cs="方正细圆简体"/>
        </w:rPr>
        <w:t>附件四：</w:t>
      </w:r>
      <w:r>
        <w:rPr>
          <w:rFonts w:hint="eastAsia" w:ascii="宋体" w:hAnsi="宋体"/>
          <w:bCs/>
        </w:rPr>
        <w:t>全套技术规范书（电子版、含品牌要求）</w:t>
      </w:r>
    </w:p>
    <w:p>
      <w:pPr>
        <w:spacing w:line="360" w:lineRule="exact"/>
        <w:ind w:firstLine="420" w:firstLineChars="200"/>
        <w:rPr>
          <w:rFonts w:ascii="宋体" w:hAnsi="宋体"/>
        </w:rPr>
      </w:pPr>
      <w:r>
        <w:rPr>
          <w:rFonts w:hint="eastAsia" w:ascii="宋体" w:hAnsi="宋体" w:cs="方正细圆简体"/>
        </w:rPr>
        <w:t>（电子版文件在“云筑网”自行下载）</w:t>
      </w:r>
      <w:bookmarkStart w:id="42" w:name="_Toc1130"/>
      <w:bookmarkStart w:id="43" w:name="_Toc10529"/>
      <w:bookmarkStart w:id="44" w:name="_Toc30909"/>
      <w:bookmarkStart w:id="45" w:name="_Toc16354"/>
      <w:bookmarkStart w:id="46" w:name="_Toc18387"/>
      <w:bookmarkStart w:id="47" w:name="_Toc3637"/>
    </w:p>
    <w:p>
      <w:pPr>
        <w:numPr>
          <w:ilvl w:val="0"/>
          <w:numId w:val="3"/>
        </w:numPr>
        <w:spacing w:before="120" w:beforeLines="50" w:after="120" w:afterLines="50" w:line="360" w:lineRule="exact"/>
        <w:ind w:firstLine="422" w:firstLineChars="200"/>
        <w:outlineLvl w:val="1"/>
        <w:rPr>
          <w:rFonts w:ascii="宋体" w:hAnsi="宋体" w:cs="方正细圆简体"/>
          <w:b/>
          <w:bCs/>
        </w:rPr>
      </w:pPr>
      <w:r>
        <w:rPr>
          <w:rFonts w:hint="eastAsia" w:ascii="宋体" w:hAnsi="宋体" w:cs="方正细圆简体"/>
          <w:b/>
          <w:bCs/>
        </w:rPr>
        <w:t>招标文件的澄清</w:t>
      </w:r>
      <w:bookmarkEnd w:id="42"/>
      <w:bookmarkEnd w:id="43"/>
      <w:bookmarkEnd w:id="44"/>
      <w:bookmarkEnd w:id="45"/>
      <w:bookmarkEnd w:id="46"/>
      <w:bookmarkEnd w:id="47"/>
    </w:p>
    <w:p>
      <w:pPr>
        <w:spacing w:line="360" w:lineRule="exact"/>
        <w:ind w:left="479" w:leftChars="228" w:firstLine="420" w:firstLineChars="200"/>
        <w:rPr>
          <w:rFonts w:ascii="宋体" w:hAnsi="宋体" w:cs="方正细圆简体"/>
        </w:rPr>
      </w:pPr>
      <w:bookmarkStart w:id="48" w:name="_Toc20972"/>
      <w:r>
        <w:rPr>
          <w:rFonts w:hint="eastAsia" w:ascii="宋体" w:hAnsi="宋体" w:cs="方正细圆简体"/>
        </w:rPr>
        <w:t>如投标人发现招标文件有不清楚的地方或对内容有疑问，要求澄清和解答的，投标人可在</w:t>
      </w:r>
      <w:r>
        <w:rPr>
          <w:rFonts w:hint="eastAsia" w:ascii="宋体" w:hAnsi="宋体" w:cs="方正细圆简体"/>
          <w:u w:val="single"/>
        </w:rPr>
        <w:t>2020年</w:t>
      </w:r>
      <w:r>
        <w:rPr>
          <w:rFonts w:hint="eastAsia" w:ascii="宋体" w:hAnsi="宋体" w:cs="方正细圆简体"/>
          <w:u w:val="single"/>
          <w:lang w:val="en-US" w:eastAsia="zh-CN"/>
        </w:rPr>
        <w:t>10</w:t>
      </w:r>
      <w:r>
        <w:rPr>
          <w:rFonts w:hint="eastAsia" w:ascii="宋体" w:hAnsi="宋体" w:cs="方正细圆简体"/>
          <w:u w:val="single"/>
        </w:rPr>
        <w:t>月</w:t>
      </w:r>
      <w:r>
        <w:rPr>
          <w:rFonts w:hint="eastAsia" w:ascii="宋体" w:hAnsi="宋体" w:cs="方正细圆简体"/>
          <w:u w:val="single"/>
          <w:lang w:val="en-US" w:eastAsia="zh-CN"/>
        </w:rPr>
        <w:t>12</w:t>
      </w:r>
      <w:r>
        <w:rPr>
          <w:rFonts w:hint="eastAsia" w:ascii="宋体" w:hAnsi="宋体" w:cs="方正细圆简体"/>
          <w:u w:val="single"/>
        </w:rPr>
        <w:t>日</w:t>
      </w:r>
      <w:r>
        <w:rPr>
          <w:rFonts w:hint="eastAsia" w:ascii="宋体" w:hAnsi="宋体" w:cs="方正细圆简体"/>
        </w:rPr>
        <w:t>17:00前通过“云筑网”提出问题，招标人在</w:t>
      </w:r>
      <w:r>
        <w:rPr>
          <w:rFonts w:hint="eastAsia" w:ascii="宋体" w:hAnsi="宋体" w:cs="方正细圆简体"/>
          <w:u w:val="single"/>
        </w:rPr>
        <w:t>2020年</w:t>
      </w:r>
      <w:r>
        <w:rPr>
          <w:rFonts w:hint="eastAsia" w:ascii="宋体" w:hAnsi="宋体" w:cs="方正细圆简体"/>
          <w:u w:val="single"/>
          <w:lang w:val="en-US" w:eastAsia="zh-CN"/>
        </w:rPr>
        <w:t>10</w:t>
      </w:r>
      <w:r>
        <w:rPr>
          <w:rFonts w:hint="eastAsia" w:ascii="宋体" w:hAnsi="宋体" w:cs="方正细圆简体"/>
          <w:u w:val="single"/>
        </w:rPr>
        <w:t>月</w:t>
      </w:r>
      <w:r>
        <w:rPr>
          <w:rFonts w:hint="eastAsia" w:ascii="宋体" w:hAnsi="宋体" w:cs="方正细圆简体"/>
          <w:u w:val="single"/>
          <w:lang w:val="en-US" w:eastAsia="zh-CN"/>
        </w:rPr>
        <w:t>14</w:t>
      </w:r>
      <w:r>
        <w:rPr>
          <w:rFonts w:hint="eastAsia" w:ascii="宋体" w:hAnsi="宋体" w:cs="方正细圆简体"/>
          <w:u w:val="single"/>
        </w:rPr>
        <w:t>日</w:t>
      </w:r>
      <w:r>
        <w:rPr>
          <w:rFonts w:hint="eastAsia" w:ascii="宋体" w:hAnsi="宋体" w:cs="方正细圆简体"/>
        </w:rPr>
        <w:t>17:00前通过“云筑网”进行答疑。投标人未及时下载答疑文件，由此造成的后果由投标人自行承担。</w:t>
      </w:r>
      <w:bookmarkEnd w:id="48"/>
    </w:p>
    <w:p>
      <w:pPr>
        <w:numPr>
          <w:ilvl w:val="0"/>
          <w:numId w:val="3"/>
        </w:numPr>
        <w:spacing w:before="120" w:beforeLines="50" w:after="120" w:afterLines="50" w:line="360" w:lineRule="exact"/>
        <w:ind w:firstLine="422" w:firstLineChars="200"/>
        <w:outlineLvl w:val="1"/>
        <w:rPr>
          <w:rFonts w:ascii="宋体" w:hAnsi="宋体"/>
          <w:b/>
          <w:bCs/>
        </w:rPr>
      </w:pPr>
      <w:bookmarkStart w:id="49" w:name="_Toc22572"/>
      <w:bookmarkStart w:id="50" w:name="_Toc21048"/>
      <w:bookmarkStart w:id="51" w:name="_Toc16692"/>
      <w:bookmarkStart w:id="52" w:name="_Toc11602"/>
      <w:bookmarkStart w:id="53" w:name="_Toc22953"/>
      <w:bookmarkStart w:id="54" w:name="_Toc26385"/>
      <w:r>
        <w:rPr>
          <w:rFonts w:hint="eastAsia" w:ascii="宋体" w:hAnsi="宋体" w:cs="方正细圆简体"/>
          <w:b/>
          <w:bCs/>
        </w:rPr>
        <w:t>招标文件的补充和修改</w:t>
      </w:r>
      <w:bookmarkEnd w:id="49"/>
      <w:bookmarkEnd w:id="50"/>
      <w:bookmarkEnd w:id="51"/>
      <w:bookmarkEnd w:id="52"/>
      <w:bookmarkEnd w:id="53"/>
      <w:bookmarkEnd w:id="54"/>
    </w:p>
    <w:p>
      <w:pPr>
        <w:spacing w:line="360" w:lineRule="exact"/>
        <w:ind w:left="479" w:leftChars="228" w:firstLine="420" w:firstLineChars="200"/>
        <w:rPr>
          <w:rFonts w:ascii="宋体" w:hAnsi="宋体" w:cs="方正细圆简体"/>
        </w:rPr>
      </w:pPr>
      <w:r>
        <w:rPr>
          <w:rFonts w:hint="eastAsia" w:ascii="宋体" w:hAnsi="宋体" w:cs="方正细圆简体"/>
        </w:rPr>
        <w:t>招标人在投标截止时间前的任何时候，任何原因通过“云筑网”发出招标文件变更、补充、修改通知，该类变更、补充、修改可能是招标人主动发起的，也可能是为了解答投标人要澄清的问题而发起的，招标人无义务对变更具体原因予以解释。</w:t>
      </w:r>
    </w:p>
    <w:p>
      <w:pPr>
        <w:numPr>
          <w:ilvl w:val="0"/>
          <w:numId w:val="3"/>
        </w:numPr>
        <w:spacing w:before="120" w:beforeLines="50" w:after="120" w:afterLines="50" w:line="360" w:lineRule="exact"/>
        <w:ind w:firstLine="422" w:firstLineChars="200"/>
        <w:outlineLvl w:val="1"/>
        <w:rPr>
          <w:rFonts w:ascii="宋体" w:hAnsi="宋体"/>
          <w:b/>
          <w:bCs/>
        </w:rPr>
      </w:pPr>
      <w:bookmarkStart w:id="55" w:name="_Toc7103"/>
      <w:bookmarkStart w:id="56" w:name="_Toc1599"/>
      <w:bookmarkStart w:id="57" w:name="_Toc21089"/>
      <w:bookmarkStart w:id="58" w:name="_Toc22481"/>
      <w:bookmarkStart w:id="59" w:name="_Toc14235"/>
      <w:bookmarkStart w:id="60" w:name="_Toc1288"/>
      <w:r>
        <w:rPr>
          <w:rFonts w:hint="eastAsia" w:ascii="宋体" w:hAnsi="宋体"/>
          <w:b/>
          <w:bCs/>
        </w:rPr>
        <w:t>电子网络投标要点</w:t>
      </w:r>
      <w:bookmarkEnd w:id="55"/>
      <w:bookmarkEnd w:id="56"/>
      <w:bookmarkEnd w:id="57"/>
      <w:bookmarkEnd w:id="58"/>
      <w:bookmarkEnd w:id="59"/>
      <w:bookmarkEnd w:id="60"/>
    </w:p>
    <w:p>
      <w:pPr>
        <w:spacing w:line="360" w:lineRule="exact"/>
        <w:ind w:left="542" w:leftChars="258" w:firstLine="420" w:firstLineChars="200"/>
        <w:rPr>
          <w:rFonts w:ascii="宋体" w:hAnsi="宋体" w:cs="方正细圆简体"/>
        </w:rPr>
      </w:pPr>
      <w:bookmarkStart w:id="61" w:name="_Toc8278"/>
      <w:r>
        <w:rPr>
          <w:rFonts w:hint="eastAsia" w:ascii="宋体" w:hAnsi="宋体" w:cs="方正细圆简体"/>
        </w:rPr>
        <w:t>7.1投标人需确认本企业已经在“云筑网”（网址：https://www.yzw.cn/）进行注册并通过审核，拥有唯一的用户名和密码，投标人不能重复注册，确认自身企业是否已经注册。</w:t>
      </w:r>
      <w:bookmarkEnd w:id="61"/>
    </w:p>
    <w:p>
      <w:pPr>
        <w:spacing w:line="360" w:lineRule="exact"/>
        <w:ind w:left="542" w:leftChars="258" w:firstLine="420" w:firstLineChars="200"/>
        <w:rPr>
          <w:rFonts w:ascii="宋体" w:hAnsi="宋体" w:cs="方正细圆简体"/>
        </w:rPr>
      </w:pPr>
      <w:r>
        <w:rPr>
          <w:rFonts w:hint="eastAsia" w:ascii="宋体" w:hAnsi="宋体" w:cs="方正细圆简体"/>
        </w:rPr>
        <w:t>7.2投标人使用用户名和密码登陆“云筑网”，按照要求及时进行密码修改、企业信息和产品信息维护与确认工作。</w:t>
      </w:r>
    </w:p>
    <w:p>
      <w:pPr>
        <w:spacing w:line="360" w:lineRule="exact"/>
        <w:ind w:left="542" w:leftChars="258" w:firstLine="420" w:firstLineChars="200"/>
        <w:rPr>
          <w:rFonts w:ascii="宋体" w:hAnsi="宋体" w:cs="方正细圆简体"/>
        </w:rPr>
      </w:pPr>
      <w:r>
        <w:rPr>
          <w:rFonts w:hint="eastAsia" w:ascii="宋体" w:hAnsi="宋体" w:cs="方正细圆简体"/>
        </w:rPr>
        <w:t>7.3按照本招标文件确定的时间节点要求，登录“云筑网”进行网上投标文件的提报。</w:t>
      </w:r>
    </w:p>
    <w:p>
      <w:pPr>
        <w:spacing w:line="360" w:lineRule="exact"/>
        <w:ind w:left="542" w:leftChars="258" w:firstLine="420" w:firstLineChars="200"/>
        <w:rPr>
          <w:rFonts w:ascii="宋体" w:hAnsi="宋体"/>
        </w:rPr>
      </w:pPr>
      <w:r>
        <w:rPr>
          <w:rFonts w:hint="eastAsia" w:ascii="宋体" w:hAnsi="宋体" w:cs="方正细圆简体"/>
        </w:rPr>
        <w:t>7.4</w:t>
      </w:r>
      <w:r>
        <w:rPr>
          <w:rFonts w:ascii="宋体" w:hAnsi="宋体" w:cs="方正细圆简体"/>
        </w:rPr>
        <w:t>投标人未按照招标文件要求提交全部资料，未及时对企业信息、产品信息维护与确认，或者未及时进行网上报价等，投标人的投标将被拒绝。</w:t>
      </w:r>
    </w:p>
    <w:p>
      <w:pPr>
        <w:numPr>
          <w:ilvl w:val="0"/>
          <w:numId w:val="3"/>
        </w:numPr>
        <w:spacing w:before="120" w:beforeLines="50" w:after="120" w:afterLines="50" w:line="360" w:lineRule="exact"/>
        <w:ind w:firstLine="422" w:firstLineChars="200"/>
        <w:outlineLvl w:val="1"/>
        <w:rPr>
          <w:rFonts w:ascii="宋体" w:hAnsi="宋体"/>
          <w:b/>
          <w:bCs/>
        </w:rPr>
      </w:pPr>
      <w:bookmarkStart w:id="62" w:name="_Toc1584"/>
      <w:bookmarkStart w:id="63" w:name="_Toc4340"/>
      <w:bookmarkStart w:id="64" w:name="_Toc1694"/>
      <w:bookmarkStart w:id="65" w:name="_Toc28192"/>
      <w:bookmarkStart w:id="66" w:name="_Toc28634"/>
      <w:bookmarkStart w:id="67" w:name="_Toc26117"/>
      <w:r>
        <w:rPr>
          <w:rFonts w:hint="eastAsia" w:ascii="宋体" w:hAnsi="宋体" w:cs="方正细圆简体"/>
          <w:b/>
          <w:bCs/>
        </w:rPr>
        <w:t>投标文件编制的基本要求</w:t>
      </w:r>
      <w:bookmarkEnd w:id="62"/>
      <w:bookmarkEnd w:id="63"/>
      <w:bookmarkEnd w:id="64"/>
      <w:bookmarkEnd w:id="65"/>
      <w:bookmarkEnd w:id="66"/>
      <w:bookmarkEnd w:id="67"/>
    </w:p>
    <w:p>
      <w:pPr>
        <w:spacing w:line="360" w:lineRule="exact"/>
        <w:ind w:left="542" w:leftChars="258" w:firstLine="420" w:firstLineChars="200"/>
        <w:rPr>
          <w:rFonts w:ascii="宋体" w:hAnsi="宋体"/>
        </w:rPr>
      </w:pPr>
      <w:r>
        <w:rPr>
          <w:rFonts w:hint="eastAsia" w:ascii="宋体" w:hAnsi="宋体" w:cs="方正细圆简体"/>
        </w:rPr>
        <w:t>8</w:t>
      </w:r>
      <w:r>
        <w:rPr>
          <w:rFonts w:ascii="宋体" w:hAnsi="宋体" w:cs="方正细圆简体"/>
        </w:rPr>
        <w:t>.1</w:t>
      </w:r>
      <w:r>
        <w:rPr>
          <w:rFonts w:hint="eastAsia" w:ascii="宋体" w:hAnsi="宋体" w:cs="方正细圆简体"/>
        </w:rPr>
        <w:t>投标人应认真阅读、充分理解招标文件的全部内容（包括所有的补充、修改内容），承认并履行招标文件中各项条款的规定及要求。</w:t>
      </w:r>
    </w:p>
    <w:p>
      <w:pPr>
        <w:spacing w:line="360" w:lineRule="exact"/>
        <w:ind w:left="542" w:leftChars="258" w:firstLine="420" w:firstLineChars="200"/>
        <w:rPr>
          <w:rFonts w:ascii="宋体" w:hAnsi="宋体"/>
        </w:rPr>
      </w:pPr>
      <w:r>
        <w:rPr>
          <w:rFonts w:hint="eastAsia" w:ascii="宋体" w:hAnsi="宋体" w:cs="方正细圆简体"/>
        </w:rPr>
        <w:t>8</w:t>
      </w:r>
      <w:r>
        <w:rPr>
          <w:rFonts w:ascii="宋体" w:hAnsi="宋体" w:cs="方正细圆简体"/>
        </w:rPr>
        <w:t>.2</w:t>
      </w:r>
      <w:r>
        <w:rPr>
          <w:rFonts w:hint="eastAsia" w:ascii="宋体" w:hAnsi="宋体" w:cs="方正细圆简体"/>
        </w:rPr>
        <w:t>若投标人填写招标文件要求的内容和附件，给评标造成困难，招标人有权拒绝其投标文件。</w:t>
      </w:r>
    </w:p>
    <w:p>
      <w:pPr>
        <w:spacing w:line="360" w:lineRule="exact"/>
        <w:ind w:left="542" w:leftChars="258" w:firstLine="420" w:firstLineChars="200"/>
        <w:rPr>
          <w:rFonts w:ascii="宋体" w:hAnsi="宋体"/>
        </w:rPr>
      </w:pPr>
      <w:r>
        <w:rPr>
          <w:rFonts w:hint="eastAsia" w:ascii="宋体" w:hAnsi="宋体" w:cs="方正细圆简体"/>
        </w:rPr>
        <w:t>8</w:t>
      </w:r>
      <w:r>
        <w:rPr>
          <w:rFonts w:ascii="宋体" w:hAnsi="宋体" w:cs="方正细圆简体"/>
        </w:rPr>
        <w:t>.3</w:t>
      </w:r>
      <w:r>
        <w:rPr>
          <w:rFonts w:hint="eastAsia" w:ascii="宋体" w:hAnsi="宋体" w:cs="方正细圆简体"/>
        </w:rPr>
        <w:t>投标人应按招标文件要求提供所有投标报价资料，作为附件上传至“云筑网”。投标文件和图纸及与报价有关的所有文件等均应使用</w:t>
      </w:r>
      <w:r>
        <w:rPr>
          <w:rFonts w:hint="eastAsia" w:ascii="宋体" w:hAnsi="宋体" w:cs="方正细圆简体"/>
          <w:u w:val="single"/>
        </w:rPr>
        <w:t>简体中文汉字</w:t>
      </w:r>
      <w:r>
        <w:rPr>
          <w:rFonts w:hint="eastAsia" w:ascii="宋体" w:hAnsi="宋体" w:cs="方正细圆简体"/>
        </w:rPr>
        <w:t>。</w:t>
      </w:r>
    </w:p>
    <w:p>
      <w:pPr>
        <w:spacing w:line="360" w:lineRule="exact"/>
        <w:ind w:left="542" w:leftChars="258" w:firstLine="420" w:firstLineChars="200"/>
        <w:rPr>
          <w:rFonts w:ascii="宋体" w:hAnsi="宋体"/>
        </w:rPr>
      </w:pPr>
      <w:r>
        <w:rPr>
          <w:rFonts w:hint="eastAsia" w:ascii="宋体" w:hAnsi="宋体" w:cs="方正细圆简体"/>
        </w:rPr>
        <w:t>8</w:t>
      </w:r>
      <w:r>
        <w:rPr>
          <w:rFonts w:ascii="宋体" w:hAnsi="宋体" w:cs="方正细圆简体"/>
        </w:rPr>
        <w:t>.4</w:t>
      </w:r>
      <w:r>
        <w:rPr>
          <w:rFonts w:hint="eastAsia" w:ascii="宋体" w:hAnsi="宋体" w:cs="方正细圆简体"/>
        </w:rPr>
        <w:t>议标文件要求与云筑网上传文件应一致，如出现不一致以云筑网递交的数据为准，议标文件中应包含资信部分、商务部分与技术部（如果有）分</w:t>
      </w:r>
      <w:r>
        <w:rPr>
          <w:rFonts w:hint="eastAsia" w:ascii="宋体" w:hAnsi="宋体" w:cs="方正细圆简体"/>
          <w:b/>
          <w:bCs/>
        </w:rPr>
        <w:t>（一式三份、一正两副）。南区，北区投标文件分开封装。</w:t>
      </w:r>
    </w:p>
    <w:p>
      <w:pPr>
        <w:numPr>
          <w:ilvl w:val="0"/>
          <w:numId w:val="3"/>
        </w:numPr>
        <w:tabs>
          <w:tab w:val="left" w:pos="945"/>
        </w:tabs>
        <w:spacing w:before="120" w:beforeLines="50" w:after="120" w:afterLines="50" w:line="360" w:lineRule="exact"/>
        <w:ind w:firstLine="422" w:firstLineChars="200"/>
        <w:outlineLvl w:val="1"/>
        <w:rPr>
          <w:rFonts w:ascii="宋体" w:hAnsi="宋体"/>
          <w:b/>
          <w:bCs/>
        </w:rPr>
      </w:pPr>
      <w:bookmarkStart w:id="68" w:name="_Toc5136"/>
      <w:bookmarkStart w:id="69" w:name="_Toc462"/>
      <w:bookmarkStart w:id="70" w:name="_Toc23881"/>
      <w:bookmarkStart w:id="71" w:name="_Toc14811"/>
      <w:bookmarkStart w:id="72" w:name="_Toc23035"/>
      <w:bookmarkStart w:id="73" w:name="_Toc22612"/>
      <w:r>
        <w:rPr>
          <w:rFonts w:hint="eastAsia" w:ascii="宋体" w:hAnsi="宋体" w:cs="方正细圆简体"/>
          <w:b/>
          <w:bCs/>
        </w:rPr>
        <w:t>投标文件格式</w:t>
      </w:r>
      <w:bookmarkEnd w:id="68"/>
      <w:bookmarkEnd w:id="69"/>
      <w:bookmarkEnd w:id="70"/>
      <w:bookmarkEnd w:id="71"/>
      <w:bookmarkEnd w:id="72"/>
      <w:bookmarkEnd w:id="73"/>
    </w:p>
    <w:p>
      <w:pPr>
        <w:spacing w:line="360" w:lineRule="exact"/>
        <w:ind w:left="525" w:leftChars="250" w:firstLine="420" w:firstLineChars="200"/>
        <w:rPr>
          <w:rFonts w:ascii="宋体" w:hAnsi="宋体"/>
        </w:rPr>
      </w:pPr>
      <w:r>
        <w:rPr>
          <w:rFonts w:hint="eastAsia" w:ascii="宋体" w:hAnsi="宋体" w:cs="方正细圆简体"/>
        </w:rPr>
        <w:t>投标书是投标人对招标文件的响应和承诺，投标人提交的投标文件应当使用招标文件所提供的全部格式（表格可以按同样格式扩展）。否则招标人有权拒绝其投标。</w:t>
      </w:r>
    </w:p>
    <w:p>
      <w:pPr>
        <w:numPr>
          <w:ilvl w:val="0"/>
          <w:numId w:val="3"/>
        </w:numPr>
        <w:tabs>
          <w:tab w:val="left" w:pos="945"/>
        </w:tabs>
        <w:spacing w:before="120" w:beforeLines="50" w:after="120" w:afterLines="50" w:line="360" w:lineRule="exact"/>
        <w:ind w:firstLine="422" w:firstLineChars="200"/>
        <w:outlineLvl w:val="1"/>
        <w:rPr>
          <w:rFonts w:ascii="宋体" w:hAnsi="宋体" w:cs="方正细圆简体"/>
          <w:b/>
          <w:bCs/>
        </w:rPr>
      </w:pPr>
      <w:bookmarkStart w:id="74" w:name="_Toc11443"/>
      <w:bookmarkStart w:id="75" w:name="_Toc24387"/>
      <w:bookmarkStart w:id="76" w:name="_Toc470"/>
      <w:bookmarkStart w:id="77" w:name="_Toc25621"/>
      <w:bookmarkStart w:id="78" w:name="_Toc8872"/>
      <w:bookmarkStart w:id="79" w:name="_Toc6308"/>
      <w:r>
        <w:rPr>
          <w:rFonts w:hint="eastAsia" w:ascii="宋体" w:hAnsi="宋体" w:cs="方正细圆简体"/>
          <w:b/>
          <w:bCs/>
        </w:rPr>
        <w:t>投标报价</w:t>
      </w:r>
      <w:bookmarkEnd w:id="74"/>
      <w:bookmarkEnd w:id="75"/>
      <w:bookmarkEnd w:id="76"/>
      <w:bookmarkEnd w:id="77"/>
      <w:bookmarkEnd w:id="78"/>
      <w:bookmarkEnd w:id="79"/>
    </w:p>
    <w:p>
      <w:pPr>
        <w:tabs>
          <w:tab w:val="left" w:pos="4890"/>
        </w:tabs>
        <w:spacing w:line="360" w:lineRule="exact"/>
        <w:ind w:left="525" w:leftChars="250" w:firstLine="420" w:firstLineChars="200"/>
        <w:rPr>
          <w:rFonts w:ascii="宋体" w:hAnsi="宋体" w:cs="方正细圆简体"/>
        </w:rPr>
      </w:pPr>
      <w:bookmarkStart w:id="80" w:name="_Toc12149"/>
      <w:bookmarkStart w:id="81" w:name="_Toc1190"/>
      <w:bookmarkStart w:id="82" w:name="_Toc2299"/>
      <w:r>
        <w:rPr>
          <w:rFonts w:hint="eastAsia" w:ascii="宋体" w:hAnsi="宋体" w:cs="方正细圆简体"/>
        </w:rPr>
        <w:t>10.1投标货币：人民币。</w:t>
      </w:r>
      <w:bookmarkEnd w:id="80"/>
      <w:bookmarkEnd w:id="81"/>
      <w:bookmarkEnd w:id="82"/>
    </w:p>
    <w:p>
      <w:pPr>
        <w:tabs>
          <w:tab w:val="left" w:pos="4890"/>
        </w:tabs>
        <w:spacing w:line="360" w:lineRule="exact"/>
        <w:ind w:left="525" w:leftChars="250" w:firstLine="420" w:firstLineChars="200"/>
        <w:rPr>
          <w:rFonts w:ascii="宋体" w:hAnsi="宋体" w:cs="方正细圆简体"/>
        </w:rPr>
      </w:pPr>
      <w:r>
        <w:rPr>
          <w:rFonts w:hint="eastAsia" w:ascii="宋体" w:hAnsi="宋体" w:cs="方正细圆简体"/>
        </w:rPr>
        <w:t>10.2本合同为固定综合单价合同，本合同签字盖章生效后，在没有与对方协商一致的前提下没有任何理由要求调整。它包括投标方为履行本合同约定的义务，完成合同工作内容，承担自身经营风险，满足国家规范、规程、标准和设计要求，达到业主、管理公司、顾问、监理、招标方满意所发生的一切相关费用；</w:t>
      </w:r>
    </w:p>
    <w:p>
      <w:pPr>
        <w:tabs>
          <w:tab w:val="left" w:pos="4890"/>
        </w:tabs>
        <w:spacing w:line="360" w:lineRule="exact"/>
        <w:ind w:left="525" w:leftChars="250" w:firstLine="420" w:firstLineChars="200"/>
        <w:rPr>
          <w:rFonts w:ascii="宋体" w:hAnsi="宋体" w:cs="方正细圆简体"/>
        </w:rPr>
      </w:pPr>
      <w:r>
        <w:rPr>
          <w:rFonts w:hint="eastAsia" w:ascii="宋体" w:hAnsi="宋体" w:cs="方正细圆简体"/>
        </w:rPr>
        <w:t>10.3本合同单价不再做任何调整。任何因市场物价波动、生活费用提高、人员工资的提高、油价的上涨、政府税收与收费的调整以及政府与行业主管部门红头文件的颁发等因素引起的投标方的成本的增减，均属于投标方自身经营风险，视为已经事先充分估计并已经包含在合同单价之中；</w:t>
      </w:r>
    </w:p>
    <w:p>
      <w:pPr>
        <w:tabs>
          <w:tab w:val="left" w:pos="4890"/>
        </w:tabs>
        <w:spacing w:line="360" w:lineRule="exact"/>
        <w:ind w:left="525" w:leftChars="250" w:firstLine="420" w:firstLineChars="200"/>
        <w:rPr>
          <w:rFonts w:ascii="宋体" w:hAnsi="宋体" w:cs="方正细圆简体"/>
        </w:rPr>
      </w:pPr>
      <w:r>
        <w:rPr>
          <w:rFonts w:hint="eastAsia" w:ascii="宋体" w:hAnsi="宋体" w:cs="方正细圆简体"/>
        </w:rPr>
        <w:t>10.4投标报价应是招标文件所确定的招标范围内的全部工作内容的价格体现。其应为包括本次招标全部工作内容以及合同履行期间各类市场风险的完全价格。包括但不限于产品本身价格、设计费、包装费、运费、装卸费、试验检验费、产品保护、保险费、税金（包括关税、增值税）、含从国外进口到境内货物应付的关税及商检费和其它费用、资料费、调试费、考察费、管理费、利润、各类措施费、指导安装、现场安装指导以及调试，售后服务、食宿、差旅、现场不利因素对生产及供应产生的不利影响及费用、承担各种风险及满足国家规范通过验收等要求所发生的一切费用。</w:t>
      </w:r>
    </w:p>
    <w:p>
      <w:pPr>
        <w:tabs>
          <w:tab w:val="left" w:pos="4890"/>
        </w:tabs>
        <w:spacing w:line="360" w:lineRule="exact"/>
        <w:ind w:left="525" w:leftChars="250" w:firstLine="420" w:firstLineChars="200"/>
        <w:rPr>
          <w:rFonts w:ascii="宋体" w:hAnsi="宋体" w:cs="方正细圆简体"/>
        </w:rPr>
      </w:pPr>
      <w:r>
        <w:rPr>
          <w:rFonts w:hint="eastAsia" w:ascii="宋体" w:hAnsi="宋体" w:cs="方正细圆简体"/>
        </w:rPr>
        <w:t>10.5投标人应根据招标人需要报送样品，并无条件接受招标人的对投标人的考察，包括：工厂考察、汇报考察或其他考察形式。以上要求将作为招标评判工作的一部分。</w:t>
      </w:r>
    </w:p>
    <w:p>
      <w:pPr>
        <w:tabs>
          <w:tab w:val="left" w:pos="4890"/>
        </w:tabs>
        <w:spacing w:line="360" w:lineRule="exact"/>
        <w:ind w:left="527" w:leftChars="251" w:firstLine="420" w:firstLineChars="200"/>
        <w:rPr>
          <w:rFonts w:ascii="宋体" w:hAnsi="宋体"/>
        </w:rPr>
      </w:pPr>
      <w:r>
        <w:rPr>
          <w:rFonts w:hint="eastAsia" w:ascii="宋体" w:hAnsi="宋体" w:cs="方正细圆简体"/>
        </w:rPr>
        <w:t>10.6投标人应在投标报价书上标明拟供货物和服务的单价和合价。单价和合价必须统一，若不统一，则以最低价为准。每种规格货物只允许有一个报价，任何有可供选择的报价，招标人不予接受。任何未报价的项目将被视为已包括在报价书报价内。</w:t>
      </w:r>
    </w:p>
    <w:p>
      <w:pPr>
        <w:tabs>
          <w:tab w:val="left" w:pos="4890"/>
        </w:tabs>
        <w:spacing w:line="360" w:lineRule="exact"/>
        <w:ind w:left="420" w:leftChars="200" w:firstLine="420" w:firstLineChars="200"/>
        <w:rPr>
          <w:rFonts w:ascii="宋体" w:hAnsi="宋体"/>
        </w:rPr>
      </w:pPr>
      <w:r>
        <w:rPr>
          <w:rFonts w:hint="eastAsia" w:ascii="宋体" w:hAnsi="宋体" w:cs="方正细圆简体"/>
        </w:rPr>
        <w:t>10.7货物价格应为</w:t>
      </w:r>
      <w:r>
        <w:rPr>
          <w:rFonts w:hint="eastAsia" w:ascii="宋体" w:hAnsi="宋体" w:cs="宋体"/>
        </w:rPr>
        <w:t>项目施工现场内指定地点</w:t>
      </w:r>
      <w:r>
        <w:rPr>
          <w:rFonts w:hint="eastAsia" w:ascii="宋体" w:hAnsi="宋体" w:cs="方正细圆简体"/>
        </w:rPr>
        <w:t>的价格，包括但不仅限于：</w:t>
      </w:r>
    </w:p>
    <w:p>
      <w:pPr>
        <w:spacing w:line="360" w:lineRule="exact"/>
        <w:ind w:left="523" w:leftChars="249" w:firstLine="420" w:firstLineChars="200"/>
        <w:rPr>
          <w:rFonts w:ascii="宋体" w:hAnsi="宋体"/>
        </w:rPr>
      </w:pPr>
      <w:r>
        <w:rPr>
          <w:rFonts w:hint="eastAsia" w:ascii="宋体" w:hAnsi="宋体" w:cs="方正细圆简体"/>
        </w:rPr>
        <w:t>10.7</w:t>
      </w:r>
      <w:r>
        <w:rPr>
          <w:rFonts w:ascii="宋体" w:hAnsi="宋体" w:cs="方正细圆简体"/>
        </w:rPr>
        <w:t>.1</w:t>
      </w:r>
      <w:r>
        <w:rPr>
          <w:rFonts w:hint="eastAsia" w:ascii="宋体" w:hAnsi="宋体" w:cs="方正细圆简体"/>
        </w:rPr>
        <w:t>货物原价。含原材料、标准件、配套件、外协件及加工产品整个过程中的一切费用和各种税费（含从国外进口到境内货物应付的关税及商检费和其它费用），并包括随货物供应的易损件、备品备件、专用工具和应提供的图纸资料等价格在内。</w:t>
      </w:r>
    </w:p>
    <w:p>
      <w:pPr>
        <w:spacing w:line="360" w:lineRule="exact"/>
        <w:ind w:left="523" w:leftChars="249" w:firstLine="420" w:firstLineChars="200"/>
        <w:rPr>
          <w:rFonts w:ascii="宋体" w:hAnsi="宋体"/>
        </w:rPr>
      </w:pPr>
      <w:r>
        <w:rPr>
          <w:rFonts w:hint="eastAsia" w:ascii="宋体" w:hAnsi="宋体" w:cs="方正细圆简体"/>
        </w:rPr>
        <w:t>10.7</w:t>
      </w:r>
      <w:r>
        <w:rPr>
          <w:rFonts w:ascii="宋体" w:hAnsi="宋体" w:cs="方正细圆简体"/>
        </w:rPr>
        <w:t>.2</w:t>
      </w:r>
      <w:r>
        <w:rPr>
          <w:rFonts w:hint="eastAsia" w:ascii="宋体" w:hAnsi="宋体" w:cs="方正细圆简体"/>
        </w:rPr>
        <w:t>包装费、运输费、装卸费、产品供销部门手续费。其中运输费系指由投标人将货物自制造厂运至指定</w:t>
      </w:r>
      <w:r>
        <w:rPr>
          <w:rFonts w:hint="eastAsia" w:ascii="宋体" w:hAnsi="宋体" w:cs="宋体"/>
        </w:rPr>
        <w:t>项目施工现场内指定地点</w:t>
      </w:r>
      <w:r>
        <w:rPr>
          <w:rFonts w:hint="eastAsia" w:ascii="宋体" w:hAnsi="宋体" w:cs="方正细圆简体"/>
        </w:rPr>
        <w:t>发生的所有运输费用。装卸费系指货物运至工地期间货物的装卸。</w:t>
      </w:r>
    </w:p>
    <w:p>
      <w:pPr>
        <w:spacing w:line="360" w:lineRule="exact"/>
        <w:ind w:left="521" w:leftChars="248" w:firstLine="420" w:firstLineChars="200"/>
        <w:rPr>
          <w:rFonts w:ascii="宋体" w:hAnsi="宋体"/>
        </w:rPr>
      </w:pPr>
      <w:r>
        <w:rPr>
          <w:rFonts w:hint="eastAsia" w:ascii="宋体" w:hAnsi="宋体" w:cs="方正细圆简体"/>
        </w:rPr>
        <w:t>10.8投标人应根据招标人的招标文件及企业自身的技术能力和企业自身的生产、工作效率，结合本公司和自身的实际情况及材料市场的现价，合理编制投标报价书。</w:t>
      </w:r>
    </w:p>
    <w:p>
      <w:pPr>
        <w:spacing w:line="360" w:lineRule="exact"/>
        <w:ind w:left="525" w:leftChars="250" w:firstLine="420" w:firstLineChars="200"/>
        <w:rPr>
          <w:rFonts w:ascii="宋体" w:hAnsi="宋体"/>
        </w:rPr>
      </w:pPr>
      <w:r>
        <w:rPr>
          <w:rFonts w:hint="eastAsia" w:ascii="宋体" w:hAnsi="宋体" w:cs="方正细圆简体"/>
        </w:rPr>
        <w:t>10.9投标人可依据自身实力作出让利的承诺，并须明确让利前投标金额、让利金额及最终有效投标金额。</w:t>
      </w:r>
    </w:p>
    <w:p>
      <w:pPr>
        <w:spacing w:line="360" w:lineRule="exact"/>
        <w:ind w:left="525" w:leftChars="250" w:firstLine="420" w:firstLineChars="200"/>
        <w:rPr>
          <w:rFonts w:ascii="宋体" w:hAnsi="宋体" w:cs="方正细圆简体"/>
        </w:rPr>
      </w:pPr>
      <w:r>
        <w:rPr>
          <w:rFonts w:hint="eastAsia" w:ascii="宋体" w:hAnsi="宋体" w:cs="方正细圆简体"/>
        </w:rPr>
        <w:t>10.10为保证货物的进场时间满足招标方要求，投标方应在投标文件中着重说明投标方为保证合同的履行所采取的具体措施。</w:t>
      </w:r>
    </w:p>
    <w:p>
      <w:pPr>
        <w:numPr>
          <w:ilvl w:val="0"/>
          <w:numId w:val="3"/>
        </w:numPr>
        <w:tabs>
          <w:tab w:val="left" w:pos="945"/>
        </w:tabs>
        <w:spacing w:before="120" w:beforeLines="50" w:after="120" w:afterLines="50" w:line="360" w:lineRule="exact"/>
        <w:ind w:firstLine="422" w:firstLineChars="200"/>
        <w:outlineLvl w:val="1"/>
        <w:rPr>
          <w:rFonts w:ascii="宋体" w:hAnsi="宋体"/>
          <w:b/>
          <w:bCs/>
        </w:rPr>
      </w:pPr>
      <w:bookmarkStart w:id="83" w:name="_Toc29992"/>
      <w:bookmarkStart w:id="84" w:name="_Toc18145"/>
      <w:bookmarkStart w:id="85" w:name="_Toc2491"/>
      <w:bookmarkStart w:id="86" w:name="_Toc28042"/>
      <w:bookmarkStart w:id="87" w:name="_Toc4745"/>
      <w:bookmarkStart w:id="88" w:name="_Toc30477"/>
      <w:bookmarkStart w:id="89" w:name="_Toc45883891"/>
      <w:bookmarkStart w:id="90" w:name="_Toc45882817"/>
      <w:r>
        <w:rPr>
          <w:rFonts w:hint="eastAsia" w:ascii="宋体" w:hAnsi="宋体" w:cs="方正细圆简体"/>
          <w:b/>
          <w:bCs/>
        </w:rPr>
        <w:t>付款及结算方式</w:t>
      </w:r>
      <w:bookmarkEnd w:id="83"/>
      <w:bookmarkEnd w:id="84"/>
      <w:bookmarkEnd w:id="85"/>
      <w:bookmarkEnd w:id="86"/>
      <w:bookmarkEnd w:id="87"/>
      <w:bookmarkEnd w:id="88"/>
      <w:bookmarkEnd w:id="89"/>
      <w:bookmarkEnd w:id="90"/>
    </w:p>
    <w:p>
      <w:pPr>
        <w:spacing w:line="360" w:lineRule="exact"/>
        <w:ind w:left="525" w:leftChars="250" w:firstLine="420" w:firstLineChars="200"/>
        <w:rPr>
          <w:rFonts w:ascii="宋体" w:hAnsi="宋体"/>
        </w:rPr>
      </w:pPr>
      <w:r>
        <w:rPr>
          <w:rFonts w:hint="eastAsia" w:ascii="宋体" w:hAnsi="宋体"/>
        </w:rPr>
        <w:t>11.1预付款：本工程无预付款。</w:t>
      </w:r>
    </w:p>
    <w:p>
      <w:pPr>
        <w:spacing w:line="360" w:lineRule="exact"/>
        <w:ind w:left="525" w:leftChars="250" w:firstLine="420" w:firstLineChars="200"/>
        <w:rPr>
          <w:rFonts w:ascii="宋体" w:hAnsi="宋体" w:cs="宋体"/>
        </w:rPr>
      </w:pPr>
      <w:r>
        <w:rPr>
          <w:rFonts w:hint="eastAsia" w:ascii="宋体" w:hAnsi="宋体"/>
        </w:rPr>
        <w:t>11.2付款方式：</w:t>
      </w:r>
      <w:r>
        <w:rPr>
          <w:rFonts w:hint="eastAsia" w:ascii="宋体" w:hAnsi="宋体" w:cs="宋体"/>
        </w:rPr>
        <w:t>每月20-25日双方核对上月21日至本月20日供货小票量，出具对账明细单，作为月度付款依据，月度对账单数量经确认无误后，卖方于每月25日向买方递交本期费用汇总表和材料对账单（材料对账单为物资部和机电部双方会签单），</w:t>
      </w:r>
      <w:r>
        <w:rPr>
          <w:rFonts w:hint="eastAsia" w:ascii="宋体" w:hAnsi="宋体" w:cs="宋体"/>
          <w:color w:val="FF0000"/>
        </w:rPr>
        <w:t>买方收到对账单后于次月的30日前支付上月货款</w:t>
      </w:r>
      <w:r>
        <w:rPr>
          <w:rFonts w:hint="eastAsia" w:ascii="宋体" w:hAnsi="宋体" w:cs="宋体"/>
          <w:color w:val="FF0000"/>
          <w:u w:val="single"/>
        </w:rPr>
        <w:t>85</w:t>
      </w:r>
      <w:r>
        <w:rPr>
          <w:rFonts w:hint="eastAsia" w:ascii="宋体" w:hAnsi="宋体" w:cs="宋体"/>
          <w:color w:val="FF0000"/>
        </w:rPr>
        <w:t>%。</w:t>
      </w:r>
      <w:r>
        <w:rPr>
          <w:rFonts w:hint="eastAsia" w:ascii="宋体" w:hAnsi="宋体"/>
          <w:color w:val="FF0000"/>
        </w:rPr>
        <w:t>在买方收到业主（建设单位）支付的相应部分款项的前提下、全部产品安装完毕、且调试验收合格、系统通电试运行正常后支付至合同总价的90%。通过工程竣工验收后30日，双方办理结算，结算完成后三个月内，买方向卖方支付至</w:t>
      </w:r>
      <w:r>
        <w:rPr>
          <w:rFonts w:hint="eastAsia" w:ascii="宋体" w:hAnsi="宋体"/>
          <w:b/>
          <w:color w:val="FF0000"/>
        </w:rPr>
        <w:t>结算</w:t>
      </w:r>
      <w:r>
        <w:rPr>
          <w:rFonts w:hint="eastAsia" w:ascii="宋体" w:hAnsi="宋体"/>
          <w:color w:val="FF0000"/>
        </w:rPr>
        <w:t>总价的97%。</w:t>
      </w:r>
      <w:r>
        <w:rPr>
          <w:rFonts w:hint="eastAsia" w:ascii="宋体" w:hAnsi="宋体" w:cs="宋体"/>
          <w:color w:val="FF0000"/>
        </w:rPr>
        <w:t>，留取质保金</w:t>
      </w:r>
      <w:r>
        <w:rPr>
          <w:rFonts w:hint="eastAsia" w:ascii="宋体" w:hAnsi="宋体" w:cs="宋体"/>
          <w:color w:val="FF0000"/>
          <w:u w:val="single"/>
        </w:rPr>
        <w:t>3</w:t>
      </w:r>
      <w:r>
        <w:rPr>
          <w:rFonts w:hint="eastAsia" w:ascii="宋体" w:hAnsi="宋体" w:cs="宋体"/>
          <w:color w:val="FF0000"/>
        </w:rPr>
        <w:t>%，待保修期满（保修期为2年，自整体工程竣工验收合格之日起算）后一个月内无息支付。</w:t>
      </w:r>
      <w:r>
        <w:rPr>
          <w:rFonts w:hint="eastAsia" w:ascii="宋体" w:hAnsi="宋体" w:cs="宋体"/>
        </w:rPr>
        <w:t>买方以银行转账</w:t>
      </w:r>
      <w:r>
        <w:rPr>
          <w:rFonts w:hint="eastAsia" w:ascii="宋体" w:hAnsi="宋体" w:cs="宋体"/>
          <w:lang w:eastAsia="zh-CN"/>
        </w:rPr>
        <w:t>、</w:t>
      </w:r>
      <w:r>
        <w:rPr>
          <w:rFonts w:hint="eastAsia" w:ascii="宋体" w:hAnsi="宋体" w:cs="宋体"/>
        </w:rPr>
        <w:t>国内信用证、商票及保理等方式支付货款，买方不给予卖方任何财务费用补偿。</w:t>
      </w:r>
    </w:p>
    <w:p>
      <w:pPr>
        <w:spacing w:line="360" w:lineRule="exact"/>
        <w:ind w:left="525" w:leftChars="250" w:firstLine="420" w:firstLineChars="200"/>
        <w:rPr>
          <w:rFonts w:ascii="宋体" w:hAnsi="宋体"/>
        </w:rPr>
      </w:pPr>
      <w:r>
        <w:rPr>
          <w:rFonts w:hint="eastAsia" w:ascii="宋体" w:hAnsi="宋体"/>
        </w:rPr>
        <w:t>11.3投标方申请付款的同时须向招标方提供13%增值税专用发票,</w:t>
      </w:r>
      <w:r>
        <w:rPr>
          <w:rFonts w:hint="eastAsia" w:ascii="宋体" w:hAnsi="宋体"/>
          <w:b/>
          <w:bCs/>
        </w:rPr>
        <w:t>发票抬头为：中国建筑一局（集团）有限公司</w:t>
      </w:r>
      <w:r>
        <w:rPr>
          <w:rFonts w:hint="eastAsia" w:ascii="宋体" w:hAnsi="宋体"/>
        </w:rPr>
        <w:t>，否则招标方有权暂不支付；如投标方提供虚假发票，则因假发票而引起的税款、滞纳金及罚款等由投标方自行承担，因假发票给招标方造成的经济损失由投标方负责赔偿。如因特殊原因（包括但不限于代付第三方货款、执行法院裁决和政府决定的款项）招标方先行支付材料款的，投标方应于招标方通知之日起七日内开具相应数额的发票，投标方不履行开票义务的，应每日按所应开发票额度0.3%向招标方承担违约责任。凡投标方未能按约定及时向招标方开具发票的，招标方可按照本合同约定的争议解决方式向投标方主张权利，要求投标方按合同约定开具发票并承担违约责任。</w:t>
      </w:r>
    </w:p>
    <w:p>
      <w:pPr>
        <w:spacing w:line="360" w:lineRule="exact"/>
        <w:ind w:left="525" w:leftChars="250" w:firstLine="420" w:firstLineChars="200"/>
        <w:rPr>
          <w:rFonts w:ascii="宋体" w:hAnsi="宋体"/>
        </w:rPr>
      </w:pPr>
      <w:r>
        <w:rPr>
          <w:rFonts w:hint="eastAsia" w:ascii="宋体" w:hAnsi="宋体"/>
        </w:rPr>
        <w:t>11.4结算后投标方需提供结算额与累计已开具增值税发票差额部分的、符合约定的增值税发票予招标方；保修期满后，招标方向投标方支付余款，投标方无需向招标方开具该部分的增值税发票。</w:t>
      </w:r>
    </w:p>
    <w:p>
      <w:pPr>
        <w:spacing w:line="360" w:lineRule="exact"/>
        <w:ind w:left="525" w:leftChars="250" w:firstLine="420" w:firstLineChars="200"/>
        <w:rPr>
          <w:rFonts w:ascii="宋体" w:hAnsi="宋体"/>
        </w:rPr>
      </w:pPr>
      <w:r>
        <w:rPr>
          <w:rFonts w:hint="eastAsia" w:ascii="宋体" w:hAnsi="宋体"/>
        </w:rPr>
        <w:t>11.5招标方收到投标方提供的最后一次款项相对应的增值税发票时，应待招标方确认投标方已全额缴税、且到买卖双方原合同约定的最终付款时间后一个月内，方可支付尾款。（提供专票时需要本条）</w:t>
      </w:r>
    </w:p>
    <w:p>
      <w:pPr>
        <w:spacing w:line="360" w:lineRule="exact"/>
        <w:ind w:left="525" w:leftChars="250" w:firstLine="420" w:firstLineChars="200"/>
        <w:rPr>
          <w:rFonts w:ascii="宋体" w:hAnsi="宋体"/>
        </w:rPr>
      </w:pPr>
      <w:r>
        <w:rPr>
          <w:rFonts w:hint="eastAsia" w:ascii="宋体" w:hAnsi="宋体"/>
        </w:rPr>
        <w:t>11.6本合同在执行过程中如发生货物、服务质量问题导致扣款、退货或其他需要发生开具增值税红字发票的（含专用发票和普通发票），由投标方按照税务管理部门规定完成开具工作，买卖双方发生的费用已包含在签约合同价中，不得另行向招标方主张。</w:t>
      </w:r>
    </w:p>
    <w:p>
      <w:pPr>
        <w:spacing w:line="360" w:lineRule="exact"/>
        <w:ind w:left="525" w:leftChars="250" w:firstLine="420" w:firstLineChars="200"/>
        <w:rPr>
          <w:rFonts w:ascii="宋体" w:hAnsi="宋体"/>
        </w:rPr>
      </w:pPr>
      <w:r>
        <w:rPr>
          <w:rFonts w:hint="eastAsia" w:ascii="宋体" w:hAnsi="宋体"/>
        </w:rPr>
        <w:t>11.7招标方办理结算手续后，根据招标方资金状况进行支付。若因业主原因导致计价款滞后，招标方可延迟付款。投标方必须向招标方提供以投标方公司（非个人）全称开户的银行账户账号，招标方将款项支付至此指定账户。</w:t>
      </w:r>
    </w:p>
    <w:p>
      <w:pPr>
        <w:spacing w:line="360" w:lineRule="exact"/>
        <w:ind w:left="525" w:leftChars="250" w:firstLine="420" w:firstLineChars="200"/>
        <w:rPr>
          <w:rFonts w:ascii="宋体" w:hAnsi="宋体"/>
        </w:rPr>
      </w:pPr>
      <w:r>
        <w:rPr>
          <w:rFonts w:hint="eastAsia" w:ascii="宋体" w:hAnsi="宋体"/>
        </w:rPr>
        <w:t>11.8投标方向非本合同当事人提供发票行为不当，引起国家税务管理机构或公安机关查处，要求招标方配合调查的，投标方应赔偿损失并支付合同价格6%的违约金。</w:t>
      </w:r>
    </w:p>
    <w:p>
      <w:pPr>
        <w:numPr>
          <w:ilvl w:val="0"/>
          <w:numId w:val="3"/>
        </w:numPr>
        <w:tabs>
          <w:tab w:val="left" w:pos="945"/>
        </w:tabs>
        <w:spacing w:before="120" w:beforeLines="50" w:after="120" w:afterLines="50" w:line="360" w:lineRule="exact"/>
        <w:ind w:firstLine="422" w:firstLineChars="200"/>
        <w:outlineLvl w:val="1"/>
        <w:rPr>
          <w:rFonts w:ascii="宋体" w:hAnsi="宋体" w:cs="方正细圆简体"/>
          <w:b/>
          <w:bCs/>
        </w:rPr>
      </w:pPr>
      <w:bookmarkStart w:id="91" w:name="_Toc7604"/>
      <w:bookmarkStart w:id="92" w:name="_Toc17075"/>
      <w:r>
        <w:rPr>
          <w:rFonts w:hint="eastAsia" w:ascii="宋体" w:hAnsi="宋体" w:cs="方正细圆简体"/>
          <w:b/>
          <w:bCs/>
        </w:rPr>
        <w:t>投标保证金</w:t>
      </w:r>
      <w:bookmarkEnd w:id="91"/>
      <w:bookmarkEnd w:id="92"/>
    </w:p>
    <w:p>
      <w:pPr>
        <w:spacing w:line="360" w:lineRule="exact"/>
        <w:ind w:left="525" w:leftChars="250" w:firstLine="420" w:firstLineChars="200"/>
        <w:rPr>
          <w:rFonts w:ascii="宋体" w:hAnsi="宋体"/>
        </w:rPr>
      </w:pPr>
      <w:r>
        <w:rPr>
          <w:rFonts w:hint="eastAsia" w:ascii="宋体" w:hAnsi="宋体"/>
        </w:rPr>
        <w:t>12.1、各投标单位在领取招标文件时需交1000元投标保证金（现金）；本次暂免，但必须履行投标单位的承诺及义务。</w:t>
      </w:r>
    </w:p>
    <w:p>
      <w:pPr>
        <w:spacing w:line="360" w:lineRule="exact"/>
        <w:ind w:left="525" w:leftChars="250" w:firstLine="420" w:firstLineChars="200"/>
        <w:rPr>
          <w:rFonts w:ascii="宋体" w:hAnsi="宋体"/>
        </w:rPr>
      </w:pPr>
      <w:r>
        <w:rPr>
          <w:rFonts w:hint="eastAsia" w:ascii="宋体" w:hAnsi="宋体"/>
        </w:rPr>
        <w:t>12.2、在投标结束后，未中标单位的保证金无息退还；中标单位的保证金在签订正式合同后无息退还；</w:t>
      </w:r>
    </w:p>
    <w:p>
      <w:pPr>
        <w:spacing w:line="360" w:lineRule="exact"/>
        <w:ind w:left="525" w:leftChars="250" w:firstLine="420" w:firstLineChars="200"/>
        <w:rPr>
          <w:rFonts w:ascii="宋体" w:hAnsi="宋体"/>
        </w:rPr>
      </w:pPr>
      <w:r>
        <w:rPr>
          <w:rFonts w:hint="eastAsia" w:ascii="宋体" w:hAnsi="宋体"/>
        </w:rPr>
        <w:t>12.3、对无故不参加投标、中标后无故不签订合同的单位，保证金不予退还。对具有串标等违法行为，给我公司造成损失的单位，一经查实将永久性的取消其合格供应商资格，情节严重的将依法追究其法律责任。</w:t>
      </w:r>
    </w:p>
    <w:p>
      <w:pPr>
        <w:tabs>
          <w:tab w:val="left" w:pos="945"/>
        </w:tabs>
        <w:spacing w:before="120" w:beforeLines="50" w:after="120" w:afterLines="50" w:line="360" w:lineRule="exact"/>
        <w:ind w:left="540" w:firstLine="422" w:firstLineChars="200"/>
        <w:outlineLvl w:val="1"/>
        <w:rPr>
          <w:rFonts w:ascii="宋体" w:hAnsi="宋体"/>
          <w:b/>
          <w:bCs/>
        </w:rPr>
      </w:pPr>
      <w:bookmarkStart w:id="93" w:name="_Toc3441"/>
      <w:bookmarkStart w:id="94" w:name="_Toc20898"/>
      <w:bookmarkStart w:id="95" w:name="_Toc12337"/>
      <w:bookmarkStart w:id="96" w:name="_Toc27297"/>
      <w:bookmarkStart w:id="97" w:name="_Toc26234"/>
      <w:bookmarkStart w:id="98" w:name="_Toc26507"/>
      <w:r>
        <w:rPr>
          <w:rFonts w:hint="eastAsia" w:ascii="宋体" w:hAnsi="宋体" w:cs="方正细圆简体"/>
          <w:b/>
          <w:bCs/>
        </w:rPr>
        <w:t>十三、投标的其他基本条件及要求</w:t>
      </w:r>
      <w:bookmarkEnd w:id="93"/>
      <w:bookmarkEnd w:id="94"/>
      <w:bookmarkEnd w:id="95"/>
      <w:bookmarkEnd w:id="96"/>
      <w:bookmarkEnd w:id="97"/>
      <w:bookmarkEnd w:id="98"/>
    </w:p>
    <w:p>
      <w:pPr>
        <w:spacing w:line="360" w:lineRule="exact"/>
        <w:ind w:left="525" w:leftChars="250" w:firstLine="420" w:firstLineChars="200"/>
        <w:rPr>
          <w:rFonts w:ascii="宋体" w:hAnsi="宋体"/>
        </w:rPr>
      </w:pPr>
      <w:r>
        <w:rPr>
          <w:rFonts w:ascii="宋体" w:hAnsi="宋体" w:cs="方正细圆简体"/>
        </w:rPr>
        <w:t>1</w:t>
      </w:r>
      <w:r>
        <w:rPr>
          <w:rFonts w:hint="eastAsia" w:ascii="宋体" w:hAnsi="宋体" w:cs="方正细圆简体"/>
        </w:rPr>
        <w:t>3</w:t>
      </w:r>
      <w:r>
        <w:rPr>
          <w:rFonts w:ascii="宋体" w:hAnsi="宋体" w:cs="方正细圆简体"/>
        </w:rPr>
        <w:t>.1</w:t>
      </w:r>
      <w:r>
        <w:rPr>
          <w:rFonts w:hint="eastAsia" w:ascii="宋体" w:hAnsi="宋体" w:cs="宋体"/>
        </w:rPr>
        <w:t>场地基本条件：投标人须到施工现场进行实际考察，并结合现场的实际情况进行投标报价，投标人一旦中标后，不得以现场条件等为借口延期交货或要求增加费用等。</w:t>
      </w:r>
    </w:p>
    <w:p>
      <w:pPr>
        <w:spacing w:line="360" w:lineRule="exact"/>
        <w:ind w:left="527" w:leftChars="251" w:firstLine="420" w:firstLineChars="200"/>
        <w:rPr>
          <w:rFonts w:ascii="宋体" w:hAnsi="宋体"/>
        </w:rPr>
      </w:pPr>
      <w:r>
        <w:rPr>
          <w:rFonts w:ascii="宋体" w:hAnsi="宋体" w:cs="宋体"/>
        </w:rPr>
        <w:t>1</w:t>
      </w:r>
      <w:r>
        <w:rPr>
          <w:rFonts w:hint="eastAsia" w:ascii="宋体" w:hAnsi="宋体" w:cs="宋体"/>
        </w:rPr>
        <w:t>3</w:t>
      </w:r>
      <w:r>
        <w:rPr>
          <w:rFonts w:ascii="宋体" w:hAnsi="宋体" w:cs="宋体"/>
        </w:rPr>
        <w:t>.2</w:t>
      </w:r>
      <w:r>
        <w:rPr>
          <w:rFonts w:hint="eastAsia" w:ascii="宋体" w:hAnsi="宋体" w:cs="宋体"/>
        </w:rPr>
        <w:t>供应期基本条件：投标人一经中标，必须保证严格按照招标人根据工程材料需用计划提出的要求按时完成供应工作。因工程总进度计划调整而需调整供货期时，投标人应完全接受招标人的要求并不得以此要求增加费用。</w:t>
      </w:r>
    </w:p>
    <w:p>
      <w:pPr>
        <w:spacing w:line="360" w:lineRule="exact"/>
        <w:ind w:left="527" w:leftChars="251" w:firstLine="420" w:firstLineChars="200"/>
        <w:rPr>
          <w:rFonts w:ascii="宋体" w:hAnsi="宋体"/>
        </w:rPr>
      </w:pPr>
      <w:r>
        <w:rPr>
          <w:rFonts w:ascii="宋体" w:hAnsi="宋体" w:cs="宋体"/>
        </w:rPr>
        <w:t>1</w:t>
      </w:r>
      <w:r>
        <w:rPr>
          <w:rFonts w:hint="eastAsia" w:ascii="宋体" w:hAnsi="宋体" w:cs="宋体"/>
        </w:rPr>
        <w:t>3</w:t>
      </w:r>
      <w:r>
        <w:rPr>
          <w:rFonts w:ascii="宋体" w:hAnsi="宋体" w:cs="宋体"/>
        </w:rPr>
        <w:t>.3</w:t>
      </w:r>
      <w:r>
        <w:rPr>
          <w:rFonts w:hint="eastAsia" w:ascii="宋体" w:hAnsi="宋体" w:cs="宋体"/>
        </w:rPr>
        <w:t>质量基本条件：产品质量应严格符合设计、招标文件及有关工程施工及验收规范的要求。</w:t>
      </w:r>
    </w:p>
    <w:p>
      <w:pPr>
        <w:spacing w:line="360" w:lineRule="exact"/>
        <w:ind w:left="527" w:leftChars="251" w:firstLine="420" w:firstLineChars="200"/>
        <w:rPr>
          <w:rFonts w:ascii="宋体" w:hAnsi="宋体"/>
        </w:rPr>
      </w:pPr>
      <w:r>
        <w:rPr>
          <w:rFonts w:ascii="宋体" w:hAnsi="宋体" w:cs="宋体"/>
        </w:rPr>
        <w:t>1</w:t>
      </w:r>
      <w:r>
        <w:rPr>
          <w:rFonts w:hint="eastAsia" w:ascii="宋体" w:hAnsi="宋体" w:cs="宋体"/>
        </w:rPr>
        <w:t>3</w:t>
      </w:r>
      <w:r>
        <w:rPr>
          <w:rFonts w:ascii="宋体" w:hAnsi="宋体" w:cs="宋体"/>
        </w:rPr>
        <w:t>.4</w:t>
      </w:r>
      <w:r>
        <w:rPr>
          <w:rFonts w:hint="eastAsia" w:ascii="宋体" w:hAnsi="宋体" w:cs="宋体"/>
        </w:rPr>
        <w:t>安全基本条件：投标人必须对自身出入现场的人员进行安全交底，对因非招标人原因造成的安全事故承担全部责任。同时，因产品质量造成的损失（事故），由投标人承担相应的经济及法律责任。</w:t>
      </w:r>
    </w:p>
    <w:p>
      <w:pPr>
        <w:tabs>
          <w:tab w:val="left" w:pos="945"/>
        </w:tabs>
        <w:spacing w:before="120" w:beforeLines="50" w:after="120" w:afterLines="50" w:line="360" w:lineRule="exact"/>
        <w:ind w:left="540" w:firstLine="422" w:firstLineChars="200"/>
        <w:outlineLvl w:val="1"/>
        <w:rPr>
          <w:rFonts w:ascii="宋体" w:hAnsi="宋体"/>
          <w:b/>
          <w:bCs/>
        </w:rPr>
      </w:pPr>
      <w:bookmarkStart w:id="99" w:name="_Toc28010"/>
      <w:bookmarkStart w:id="100" w:name="_Toc31669"/>
      <w:bookmarkStart w:id="101" w:name="_Toc9886"/>
      <w:bookmarkStart w:id="102" w:name="_Toc31092"/>
      <w:bookmarkStart w:id="103" w:name="_Toc12280"/>
      <w:bookmarkStart w:id="104" w:name="_Toc3801"/>
      <w:bookmarkStart w:id="105" w:name="_Toc8824"/>
      <w:bookmarkStart w:id="106" w:name="_Toc20885"/>
      <w:bookmarkStart w:id="107" w:name="_Toc18383"/>
      <w:bookmarkStart w:id="108" w:name="_Toc4674"/>
      <w:r>
        <w:rPr>
          <w:rFonts w:hint="eastAsia" w:ascii="宋体" w:hAnsi="宋体" w:cs="方正细圆简体"/>
          <w:b/>
          <w:bCs/>
        </w:rPr>
        <w:t>十四、投标注意事项</w:t>
      </w:r>
      <w:bookmarkEnd w:id="99"/>
      <w:bookmarkEnd w:id="100"/>
      <w:bookmarkEnd w:id="101"/>
      <w:bookmarkEnd w:id="102"/>
      <w:bookmarkEnd w:id="103"/>
      <w:bookmarkEnd w:id="104"/>
    </w:p>
    <w:p>
      <w:pPr>
        <w:spacing w:line="360" w:lineRule="exact"/>
        <w:ind w:left="525" w:leftChars="250" w:firstLine="420" w:firstLineChars="200"/>
        <w:rPr>
          <w:rFonts w:ascii="宋体" w:hAnsi="宋体"/>
        </w:rPr>
      </w:pPr>
      <w:r>
        <w:rPr>
          <w:rFonts w:ascii="宋体" w:hAnsi="宋体" w:cs="宋体"/>
        </w:rPr>
        <w:t>1</w:t>
      </w:r>
      <w:r>
        <w:rPr>
          <w:rFonts w:hint="eastAsia" w:ascii="宋体" w:hAnsi="宋体" w:cs="宋体"/>
        </w:rPr>
        <w:t>4</w:t>
      </w:r>
      <w:r>
        <w:rPr>
          <w:rFonts w:ascii="宋体" w:hAnsi="宋体" w:cs="宋体"/>
        </w:rPr>
        <w:t>.1</w:t>
      </w:r>
      <w:r>
        <w:rPr>
          <w:rFonts w:hint="eastAsia" w:ascii="宋体" w:hAnsi="宋体" w:cs="宋体"/>
        </w:rPr>
        <w:t>投标人应保证所提交给招标人的资料和数据是真实的，并保证有关货物、服务之提供和利用不侵犯或违反任何工业产权或知识产权或任何第三方提出的权利。</w:t>
      </w:r>
    </w:p>
    <w:p>
      <w:pPr>
        <w:spacing w:line="360" w:lineRule="exact"/>
        <w:ind w:left="556" w:leftChars="265" w:firstLine="420" w:firstLineChars="200"/>
        <w:rPr>
          <w:rFonts w:ascii="宋体" w:hAnsi="宋体"/>
        </w:rPr>
      </w:pPr>
      <w:r>
        <w:rPr>
          <w:rFonts w:ascii="宋体" w:hAnsi="宋体" w:cs="宋体"/>
        </w:rPr>
        <w:t>1</w:t>
      </w:r>
      <w:r>
        <w:rPr>
          <w:rFonts w:hint="eastAsia" w:ascii="宋体" w:hAnsi="宋体" w:cs="宋体"/>
        </w:rPr>
        <w:t>4</w:t>
      </w:r>
      <w:r>
        <w:rPr>
          <w:rFonts w:ascii="宋体" w:hAnsi="宋体" w:cs="宋体"/>
        </w:rPr>
        <w:t>.2</w:t>
      </w:r>
      <w:r>
        <w:rPr>
          <w:rFonts w:hint="eastAsia" w:ascii="宋体" w:hAnsi="宋体" w:cs="宋体"/>
        </w:rPr>
        <w:t>若投标人在递交报价后发觉有错误，可书面更正，该书面更正只要在截止投标前递交，便可获接纳。</w:t>
      </w:r>
    </w:p>
    <w:p>
      <w:pPr>
        <w:spacing w:line="360" w:lineRule="exact"/>
        <w:ind w:left="556" w:leftChars="265" w:firstLine="420" w:firstLineChars="200"/>
        <w:rPr>
          <w:rFonts w:ascii="宋体" w:hAnsi="宋体"/>
        </w:rPr>
      </w:pPr>
      <w:r>
        <w:rPr>
          <w:rFonts w:ascii="宋体" w:hAnsi="宋体" w:cs="宋体"/>
        </w:rPr>
        <w:t>1</w:t>
      </w:r>
      <w:r>
        <w:rPr>
          <w:rFonts w:hint="eastAsia" w:ascii="宋体" w:hAnsi="宋体" w:cs="宋体"/>
        </w:rPr>
        <w:t>4</w:t>
      </w:r>
      <w:r>
        <w:rPr>
          <w:rFonts w:ascii="宋体" w:hAnsi="宋体" w:cs="宋体"/>
        </w:rPr>
        <w:t>.3</w:t>
      </w:r>
      <w:r>
        <w:rPr>
          <w:rFonts w:hint="eastAsia" w:ascii="宋体" w:hAnsi="宋体" w:cs="宋体"/>
        </w:rPr>
        <w:t>开标后招标人发现投标文件有任何错误或疑问，可以向投标人提出询问，但询问并不表示改变投标文件，亦不减少投标人的任何责任。对于此种询问，投标人应在收到后两天内予以书面答复。</w:t>
      </w:r>
    </w:p>
    <w:p>
      <w:pPr>
        <w:spacing w:line="360" w:lineRule="exact"/>
        <w:ind w:left="556" w:leftChars="265" w:firstLine="420" w:firstLineChars="200"/>
        <w:rPr>
          <w:rFonts w:ascii="宋体" w:hAnsi="宋体"/>
        </w:rPr>
      </w:pPr>
      <w:r>
        <w:rPr>
          <w:rFonts w:ascii="宋体" w:hAnsi="宋体" w:cs="宋体"/>
        </w:rPr>
        <w:t>1</w:t>
      </w:r>
      <w:r>
        <w:rPr>
          <w:rFonts w:hint="eastAsia" w:ascii="宋体" w:hAnsi="宋体" w:cs="宋体"/>
        </w:rPr>
        <w:t>4</w:t>
      </w:r>
      <w:r>
        <w:rPr>
          <w:rFonts w:ascii="宋体" w:hAnsi="宋体" w:cs="宋体"/>
        </w:rPr>
        <w:t>.4</w:t>
      </w:r>
      <w:r>
        <w:rPr>
          <w:rFonts w:hint="eastAsia" w:ascii="宋体" w:hAnsi="宋体" w:cs="宋体"/>
        </w:rPr>
        <w:t>在招标过程中招标人发出的对于各种疑问解答的文件及其他补充文件，将发送至各个投标人，并构成招标文件不可缺少的组成部分。</w:t>
      </w:r>
    </w:p>
    <w:p>
      <w:pPr>
        <w:spacing w:line="360" w:lineRule="exact"/>
        <w:ind w:left="556" w:leftChars="265" w:firstLine="420" w:firstLineChars="200"/>
        <w:rPr>
          <w:rFonts w:ascii="宋体" w:hAnsi="宋体"/>
        </w:rPr>
      </w:pPr>
      <w:r>
        <w:rPr>
          <w:rFonts w:ascii="宋体" w:hAnsi="宋体" w:cs="宋体"/>
        </w:rPr>
        <w:t>1</w:t>
      </w:r>
      <w:r>
        <w:rPr>
          <w:rFonts w:hint="eastAsia" w:ascii="宋体" w:hAnsi="宋体" w:cs="宋体"/>
        </w:rPr>
        <w:t>4</w:t>
      </w:r>
      <w:r>
        <w:rPr>
          <w:rFonts w:ascii="宋体" w:hAnsi="宋体" w:cs="宋体"/>
        </w:rPr>
        <w:t>.5</w:t>
      </w:r>
      <w:r>
        <w:rPr>
          <w:rFonts w:hint="eastAsia" w:ascii="宋体" w:hAnsi="宋体" w:cs="宋体"/>
        </w:rPr>
        <w:t>招标文件所附的条件未列明的细节，投标人可提交建议，和投标书一同送交招标人考虑，双方协商确定。</w:t>
      </w:r>
    </w:p>
    <w:p>
      <w:pPr>
        <w:spacing w:line="360" w:lineRule="exact"/>
        <w:ind w:left="556" w:leftChars="265" w:firstLine="420" w:firstLineChars="200"/>
        <w:rPr>
          <w:rFonts w:ascii="宋体" w:hAnsi="宋体"/>
        </w:rPr>
      </w:pPr>
      <w:r>
        <w:rPr>
          <w:rFonts w:ascii="宋体" w:hAnsi="宋体" w:cs="宋体"/>
        </w:rPr>
        <w:t>1</w:t>
      </w:r>
      <w:r>
        <w:rPr>
          <w:rFonts w:hint="eastAsia" w:ascii="宋体" w:hAnsi="宋体" w:cs="宋体"/>
        </w:rPr>
        <w:t>4</w:t>
      </w:r>
      <w:r>
        <w:rPr>
          <w:rFonts w:ascii="宋体" w:hAnsi="宋体" w:cs="宋体"/>
        </w:rPr>
        <w:t>.6</w:t>
      </w:r>
      <w:r>
        <w:rPr>
          <w:rFonts w:hint="eastAsia" w:ascii="宋体" w:hAnsi="宋体" w:cs="宋体"/>
        </w:rPr>
        <w:t>投标人的投标文件一旦被招标人接受，本招标文件连同投标人的投标文件将构成对双方具有法律约束力的文件。</w:t>
      </w:r>
    </w:p>
    <w:p>
      <w:pPr>
        <w:tabs>
          <w:tab w:val="left" w:pos="945"/>
        </w:tabs>
        <w:spacing w:before="120" w:beforeLines="50" w:after="120" w:afterLines="50" w:line="360" w:lineRule="exact"/>
        <w:ind w:left="540" w:firstLine="422" w:firstLineChars="200"/>
        <w:outlineLvl w:val="1"/>
        <w:rPr>
          <w:rFonts w:ascii="宋体" w:hAnsi="宋体"/>
          <w:b/>
          <w:bCs/>
        </w:rPr>
      </w:pPr>
      <w:bookmarkStart w:id="109" w:name="_Toc28628"/>
      <w:bookmarkStart w:id="110" w:name="_Toc17104"/>
      <w:r>
        <w:rPr>
          <w:rFonts w:hint="eastAsia" w:ascii="宋体" w:hAnsi="宋体" w:cs="方正细圆简体"/>
          <w:b/>
          <w:bCs/>
        </w:rPr>
        <w:t>十五、投标有效期</w:t>
      </w:r>
      <w:bookmarkEnd w:id="105"/>
      <w:bookmarkEnd w:id="106"/>
      <w:bookmarkEnd w:id="107"/>
      <w:bookmarkEnd w:id="108"/>
      <w:bookmarkEnd w:id="109"/>
      <w:bookmarkEnd w:id="110"/>
    </w:p>
    <w:p>
      <w:pPr>
        <w:tabs>
          <w:tab w:val="left" w:pos="1215"/>
        </w:tabs>
        <w:spacing w:line="360" w:lineRule="exact"/>
        <w:ind w:left="527" w:leftChars="251" w:firstLine="420" w:firstLineChars="200"/>
        <w:rPr>
          <w:rFonts w:ascii="宋体" w:hAnsi="宋体"/>
        </w:rPr>
      </w:pPr>
      <w:r>
        <w:rPr>
          <w:rFonts w:ascii="宋体" w:hAnsi="宋体" w:cs="方正细圆简体"/>
        </w:rPr>
        <w:t>1</w:t>
      </w:r>
      <w:r>
        <w:rPr>
          <w:rFonts w:hint="eastAsia" w:ascii="宋体" w:hAnsi="宋体" w:cs="方正细圆简体"/>
        </w:rPr>
        <w:t>5</w:t>
      </w:r>
      <w:r>
        <w:rPr>
          <w:rFonts w:ascii="宋体" w:hAnsi="宋体" w:cs="方正细圆简体"/>
        </w:rPr>
        <w:t>.1</w:t>
      </w:r>
      <w:r>
        <w:rPr>
          <w:rFonts w:hint="eastAsia" w:ascii="宋体" w:hAnsi="宋体" w:cs="方正细圆简体"/>
        </w:rPr>
        <w:t>投标有效期为：规定的投标截止之日后12</w:t>
      </w:r>
      <w:r>
        <w:rPr>
          <w:rFonts w:ascii="宋体" w:hAnsi="宋体" w:cs="方正细圆简体"/>
        </w:rPr>
        <w:t>0</w:t>
      </w:r>
      <w:r>
        <w:rPr>
          <w:rFonts w:hint="eastAsia" w:ascii="宋体" w:hAnsi="宋体" w:cs="方正细圆简体"/>
        </w:rPr>
        <w:t>天内投标文件有效。在此期限内，凡符合本招标文件要求的投标文件均保持有效。中标单位的报价文件有效期将顺延至工程结束。</w:t>
      </w:r>
    </w:p>
    <w:p>
      <w:pPr>
        <w:tabs>
          <w:tab w:val="left" w:pos="525"/>
        </w:tabs>
        <w:spacing w:line="360" w:lineRule="exact"/>
        <w:ind w:left="527" w:leftChars="251" w:firstLine="420" w:firstLineChars="200"/>
        <w:rPr>
          <w:rFonts w:ascii="宋体" w:hAnsi="宋体"/>
        </w:rPr>
      </w:pPr>
      <w:r>
        <w:rPr>
          <w:rFonts w:ascii="宋体" w:hAnsi="宋体" w:cs="方正细圆简体"/>
        </w:rPr>
        <w:t>1</w:t>
      </w:r>
      <w:r>
        <w:rPr>
          <w:rFonts w:hint="eastAsia" w:ascii="宋体" w:hAnsi="宋体" w:cs="方正细圆简体"/>
        </w:rPr>
        <w:t>5</w:t>
      </w:r>
      <w:r>
        <w:rPr>
          <w:rFonts w:ascii="宋体" w:hAnsi="宋体" w:cs="方正细圆简体"/>
        </w:rPr>
        <w:t>.2</w:t>
      </w:r>
      <w:r>
        <w:rPr>
          <w:rFonts w:hint="eastAsia" w:ascii="宋体" w:hAnsi="宋体" w:cs="方正细圆简体"/>
        </w:rPr>
        <w:t>投标有效期的延长：在原定投标文件有效期届满之前</w:t>
      </w:r>
      <w:r>
        <w:rPr>
          <w:rFonts w:ascii="宋体" w:hAnsi="宋体" w:cs="方正细圆简体"/>
        </w:rPr>
        <w:t>,</w:t>
      </w:r>
      <w:r>
        <w:rPr>
          <w:rFonts w:hint="eastAsia" w:ascii="宋体" w:hAnsi="宋体" w:cs="方正细圆简体"/>
        </w:rPr>
        <w:t>如招标人因故未能确定中标人</w:t>
      </w:r>
      <w:r>
        <w:rPr>
          <w:rFonts w:ascii="宋体" w:hAnsi="宋体" w:cs="方正细圆简体"/>
        </w:rPr>
        <w:t>,</w:t>
      </w:r>
      <w:r>
        <w:rPr>
          <w:rFonts w:hint="eastAsia" w:ascii="宋体" w:hAnsi="宋体" w:cs="方正细圆简体"/>
        </w:rPr>
        <w:t>投标人须同意招标人延长其投标文件有效期</w:t>
      </w:r>
      <w:r>
        <w:rPr>
          <w:rFonts w:ascii="宋体" w:hAnsi="宋体" w:cs="方正细圆简体"/>
        </w:rPr>
        <w:t>,</w:t>
      </w:r>
      <w:r>
        <w:rPr>
          <w:rFonts w:hint="eastAsia" w:ascii="宋体" w:hAnsi="宋体" w:cs="方正细圆简体"/>
        </w:rPr>
        <w:t>延长有效期的通知将以书面形式发送投标人。在投标有效期延长期限内，不需要也不允许投标人修改其投标文件。</w:t>
      </w:r>
    </w:p>
    <w:p>
      <w:pPr>
        <w:tabs>
          <w:tab w:val="left" w:pos="1260"/>
        </w:tabs>
        <w:spacing w:line="360" w:lineRule="exact"/>
        <w:ind w:left="527" w:leftChars="251" w:firstLine="420" w:firstLineChars="200"/>
        <w:rPr>
          <w:rFonts w:ascii="宋体" w:hAnsi="宋体"/>
        </w:rPr>
      </w:pPr>
      <w:r>
        <w:rPr>
          <w:rFonts w:ascii="宋体" w:hAnsi="宋体" w:cs="方正细圆简体"/>
        </w:rPr>
        <w:t>1</w:t>
      </w:r>
      <w:r>
        <w:rPr>
          <w:rFonts w:hint="eastAsia" w:ascii="宋体" w:hAnsi="宋体" w:cs="方正细圆简体"/>
        </w:rPr>
        <w:t>5</w:t>
      </w:r>
      <w:r>
        <w:rPr>
          <w:rFonts w:ascii="宋体" w:hAnsi="宋体" w:cs="方正细圆简体"/>
        </w:rPr>
        <w:t>.3</w:t>
      </w:r>
      <w:r>
        <w:rPr>
          <w:rFonts w:hint="eastAsia" w:ascii="宋体" w:hAnsi="宋体" w:cs="方正细圆简体"/>
        </w:rPr>
        <w:t>投标人投标有效期缩短的，招标人可以视为未响应招标文件而被拒绝。</w:t>
      </w:r>
    </w:p>
    <w:p>
      <w:pPr>
        <w:tabs>
          <w:tab w:val="left" w:pos="945"/>
        </w:tabs>
        <w:spacing w:before="120" w:beforeLines="50" w:after="120" w:afterLines="50" w:line="360" w:lineRule="exact"/>
        <w:ind w:left="540" w:firstLine="422" w:firstLineChars="200"/>
        <w:outlineLvl w:val="1"/>
        <w:rPr>
          <w:rFonts w:ascii="宋体" w:hAnsi="宋体"/>
          <w:b/>
          <w:bCs/>
        </w:rPr>
      </w:pPr>
      <w:bookmarkStart w:id="111" w:name="_Toc21231"/>
      <w:bookmarkStart w:id="112" w:name="_Toc22227"/>
      <w:bookmarkStart w:id="113" w:name="_Toc2030"/>
      <w:bookmarkStart w:id="114" w:name="_Toc7557"/>
      <w:bookmarkStart w:id="115" w:name="_Toc2509"/>
      <w:bookmarkStart w:id="116" w:name="_Toc22541"/>
      <w:r>
        <w:rPr>
          <w:rFonts w:hint="eastAsia" w:ascii="宋体" w:hAnsi="宋体" w:cs="方正细圆简体"/>
          <w:b/>
          <w:bCs/>
        </w:rPr>
        <w:t>十六、投标文件的份数和签署</w:t>
      </w:r>
      <w:bookmarkEnd w:id="111"/>
      <w:bookmarkEnd w:id="112"/>
      <w:bookmarkEnd w:id="113"/>
      <w:bookmarkEnd w:id="114"/>
      <w:bookmarkEnd w:id="115"/>
      <w:bookmarkEnd w:id="116"/>
    </w:p>
    <w:p>
      <w:pPr>
        <w:spacing w:line="360" w:lineRule="exact"/>
        <w:ind w:left="523" w:leftChars="249" w:firstLine="420" w:firstLineChars="200"/>
        <w:rPr>
          <w:rFonts w:ascii="方正细圆简体" w:eastAsia="方正细圆简体"/>
        </w:rPr>
      </w:pPr>
      <w:r>
        <w:rPr>
          <w:rFonts w:ascii="宋体" w:hAnsi="宋体" w:cs="方正细圆简体"/>
        </w:rPr>
        <w:t>1</w:t>
      </w:r>
      <w:r>
        <w:rPr>
          <w:rFonts w:hint="eastAsia" w:ascii="宋体" w:hAnsi="宋体" w:cs="方正细圆简体"/>
        </w:rPr>
        <w:t>6</w:t>
      </w:r>
      <w:r>
        <w:rPr>
          <w:rFonts w:ascii="宋体" w:hAnsi="宋体" w:cs="方正细圆简体"/>
        </w:rPr>
        <w:t>.1</w:t>
      </w:r>
      <w:r>
        <w:rPr>
          <w:rFonts w:hint="eastAsia" w:ascii="宋体" w:hAnsi="宋体" w:cs="方正细圆简体"/>
        </w:rPr>
        <w:t>投标文件</w:t>
      </w:r>
      <w:r>
        <w:rPr>
          <w:rFonts w:hint="eastAsia" w:ascii="宋体" w:hAnsi="宋体" w:cs="方正细圆简体"/>
          <w:u w:val="single"/>
        </w:rPr>
        <w:t>一式二份，其中正本一份，副本一份</w:t>
      </w:r>
      <w:r>
        <w:rPr>
          <w:rFonts w:hint="eastAsia" w:ascii="宋体" w:hAnsi="宋体" w:cs="方正细圆简体"/>
        </w:rPr>
        <w:t>。投标文件须清楚的标明“正本”或“副本”。一旦正本和</w:t>
      </w:r>
      <w:r>
        <w:rPr>
          <w:rFonts w:hint="eastAsia" w:ascii="方正细圆简体" w:eastAsia="方正细圆简体" w:cs="方正细圆简体"/>
        </w:rPr>
        <w:t>副本不符，以正本为准。</w:t>
      </w:r>
    </w:p>
    <w:p>
      <w:pPr>
        <w:spacing w:line="360" w:lineRule="exact"/>
        <w:ind w:left="527" w:leftChars="251" w:firstLine="420" w:firstLineChars="200"/>
        <w:rPr>
          <w:rFonts w:ascii="宋体" w:hAnsi="宋体"/>
        </w:rPr>
      </w:pPr>
      <w:r>
        <w:rPr>
          <w:rFonts w:ascii="宋体" w:hAnsi="宋体" w:cs="方正细圆简体"/>
        </w:rPr>
        <w:t>1</w:t>
      </w:r>
      <w:r>
        <w:rPr>
          <w:rFonts w:hint="eastAsia" w:ascii="宋体" w:hAnsi="宋体" w:cs="方正细圆简体"/>
        </w:rPr>
        <w:t>6</w:t>
      </w:r>
      <w:r>
        <w:rPr>
          <w:rFonts w:ascii="宋体" w:hAnsi="宋体" w:cs="方正细圆简体"/>
        </w:rPr>
        <w:t>.2</w:t>
      </w:r>
      <w:r>
        <w:rPr>
          <w:rFonts w:hint="eastAsia" w:ascii="宋体" w:hAnsi="宋体" w:cs="方正细圆简体"/>
        </w:rPr>
        <w:t>投标文件的正本、副本均需由投标人法定代表人或经法定代表人授权代表签字，加盖公章。授权代表的“法定代表人授权书”附在投标文件内。</w:t>
      </w:r>
    </w:p>
    <w:p>
      <w:pPr>
        <w:tabs>
          <w:tab w:val="left" w:pos="945"/>
        </w:tabs>
        <w:spacing w:before="120" w:beforeLines="50" w:after="120" w:afterLines="50" w:line="360" w:lineRule="exact"/>
        <w:ind w:left="540" w:firstLine="422" w:firstLineChars="200"/>
        <w:outlineLvl w:val="1"/>
        <w:rPr>
          <w:rFonts w:ascii="宋体" w:hAnsi="宋体"/>
          <w:b/>
          <w:bCs/>
        </w:rPr>
      </w:pPr>
      <w:bookmarkStart w:id="117" w:name="_Toc12346"/>
      <w:bookmarkStart w:id="118" w:name="_Toc29077"/>
      <w:bookmarkStart w:id="119" w:name="_Toc15326"/>
      <w:bookmarkStart w:id="120" w:name="_Toc8379"/>
      <w:bookmarkStart w:id="121" w:name="_Toc24778"/>
      <w:bookmarkStart w:id="122" w:name="_Toc8292"/>
      <w:r>
        <w:rPr>
          <w:rFonts w:hint="eastAsia" w:ascii="宋体" w:hAnsi="宋体" w:cs="方正细圆简体"/>
          <w:b/>
          <w:bCs/>
        </w:rPr>
        <w:t>十七、投标文件的密封和标记</w:t>
      </w:r>
      <w:bookmarkEnd w:id="117"/>
      <w:bookmarkEnd w:id="118"/>
      <w:bookmarkEnd w:id="119"/>
      <w:bookmarkEnd w:id="120"/>
      <w:bookmarkEnd w:id="121"/>
      <w:bookmarkEnd w:id="122"/>
    </w:p>
    <w:p>
      <w:pPr>
        <w:tabs>
          <w:tab w:val="left" w:pos="525"/>
        </w:tabs>
        <w:spacing w:line="360" w:lineRule="exact"/>
        <w:ind w:firstLine="420" w:firstLineChars="200"/>
        <w:rPr>
          <w:rFonts w:ascii="宋体" w:hAnsi="宋体"/>
        </w:rPr>
      </w:pPr>
      <w:r>
        <w:rPr>
          <w:rFonts w:hint="eastAsia" w:ascii="宋体" w:hAnsi="宋体" w:cs="方正细圆简体"/>
        </w:rPr>
        <w:t>装投标书的信袋上应注明“工程名称”，“货物名称”，“投标单位名称”，“投标日期”等字样。</w:t>
      </w:r>
    </w:p>
    <w:p>
      <w:pPr>
        <w:tabs>
          <w:tab w:val="left" w:pos="945"/>
        </w:tabs>
        <w:spacing w:before="120" w:beforeLines="50" w:after="120" w:afterLines="50" w:line="360" w:lineRule="exact"/>
        <w:ind w:left="540" w:firstLine="422" w:firstLineChars="200"/>
        <w:outlineLvl w:val="1"/>
        <w:rPr>
          <w:rFonts w:ascii="宋体" w:hAnsi="宋体"/>
          <w:b/>
          <w:bCs/>
        </w:rPr>
      </w:pPr>
      <w:bookmarkStart w:id="123" w:name="_Toc20588"/>
      <w:bookmarkStart w:id="124" w:name="_Toc15228"/>
      <w:bookmarkStart w:id="125" w:name="_Toc29699"/>
      <w:bookmarkStart w:id="126" w:name="_Toc30914"/>
      <w:bookmarkStart w:id="127" w:name="_Toc4945"/>
      <w:bookmarkStart w:id="128" w:name="_Toc7263"/>
      <w:r>
        <w:rPr>
          <w:rFonts w:hint="eastAsia" w:ascii="宋体" w:hAnsi="宋体" w:cs="方正细圆简体"/>
          <w:b/>
          <w:bCs/>
        </w:rPr>
        <w:t>十八、投标文件的截止时间</w:t>
      </w:r>
      <w:bookmarkEnd w:id="123"/>
      <w:bookmarkEnd w:id="124"/>
      <w:bookmarkEnd w:id="125"/>
      <w:bookmarkEnd w:id="126"/>
      <w:bookmarkEnd w:id="127"/>
      <w:bookmarkEnd w:id="128"/>
    </w:p>
    <w:p>
      <w:pPr>
        <w:spacing w:line="360" w:lineRule="exact"/>
        <w:ind w:firstLine="420" w:firstLineChars="200"/>
        <w:rPr>
          <w:rFonts w:ascii="宋体" w:hAnsi="宋体"/>
        </w:rPr>
      </w:pPr>
      <w:r>
        <w:rPr>
          <w:rFonts w:hint="eastAsia" w:ascii="宋体" w:hAnsi="宋体" w:cs="方正细圆简体"/>
        </w:rPr>
        <w:t>投标人必须在规定的投标截止时间前向招标人送达投标文件。</w:t>
      </w:r>
    </w:p>
    <w:p>
      <w:pPr>
        <w:tabs>
          <w:tab w:val="left" w:pos="945"/>
        </w:tabs>
        <w:spacing w:before="120" w:beforeLines="50" w:after="120" w:afterLines="50" w:line="360" w:lineRule="exact"/>
        <w:ind w:left="540" w:firstLine="422" w:firstLineChars="200"/>
        <w:outlineLvl w:val="1"/>
        <w:rPr>
          <w:rFonts w:ascii="宋体" w:hAnsi="宋体"/>
          <w:b/>
          <w:bCs/>
        </w:rPr>
      </w:pPr>
      <w:bookmarkStart w:id="129" w:name="_Toc6627"/>
      <w:bookmarkStart w:id="130" w:name="_Toc23978"/>
      <w:bookmarkStart w:id="131" w:name="_Toc8883"/>
      <w:bookmarkStart w:id="132" w:name="_Toc10907"/>
      <w:bookmarkStart w:id="133" w:name="_Toc8167"/>
      <w:bookmarkStart w:id="134" w:name="_Toc29781"/>
      <w:r>
        <w:rPr>
          <w:rFonts w:hint="eastAsia" w:ascii="宋体" w:hAnsi="宋体" w:cs="方正细圆简体"/>
          <w:b/>
          <w:bCs/>
        </w:rPr>
        <w:t>十九、迟交的投标文件</w:t>
      </w:r>
      <w:bookmarkEnd w:id="129"/>
      <w:bookmarkEnd w:id="130"/>
      <w:bookmarkEnd w:id="131"/>
      <w:bookmarkEnd w:id="132"/>
      <w:bookmarkEnd w:id="133"/>
      <w:bookmarkEnd w:id="134"/>
    </w:p>
    <w:p>
      <w:pPr>
        <w:spacing w:line="360" w:lineRule="exact"/>
        <w:ind w:firstLine="420" w:firstLineChars="200"/>
        <w:rPr>
          <w:rFonts w:ascii="宋体" w:hAnsi="宋体"/>
        </w:rPr>
      </w:pPr>
      <w:r>
        <w:rPr>
          <w:rFonts w:hint="eastAsia" w:ascii="宋体" w:hAnsi="宋体" w:cs="方正细圆简体"/>
        </w:rPr>
        <w:t>招标人有权拒绝其规定的投标截止时间后收到的任何投标文件。</w:t>
      </w:r>
    </w:p>
    <w:p>
      <w:pPr>
        <w:tabs>
          <w:tab w:val="left" w:pos="945"/>
        </w:tabs>
        <w:spacing w:before="120" w:beforeLines="50" w:after="120" w:afterLines="50" w:line="360" w:lineRule="exact"/>
        <w:ind w:left="540" w:firstLine="422" w:firstLineChars="200"/>
        <w:outlineLvl w:val="1"/>
        <w:rPr>
          <w:rFonts w:ascii="宋体" w:hAnsi="宋体"/>
          <w:b/>
          <w:bCs/>
        </w:rPr>
      </w:pPr>
      <w:bookmarkStart w:id="135" w:name="_Toc27060"/>
      <w:bookmarkStart w:id="136" w:name="_Toc24619"/>
      <w:bookmarkStart w:id="137" w:name="_Toc29987"/>
      <w:bookmarkStart w:id="138" w:name="_Toc29059"/>
      <w:bookmarkStart w:id="139" w:name="_Toc20938"/>
      <w:bookmarkStart w:id="140" w:name="_Toc2832"/>
      <w:r>
        <w:rPr>
          <w:rFonts w:hint="eastAsia" w:ascii="宋体" w:hAnsi="宋体" w:cs="方正细圆简体"/>
          <w:b/>
          <w:bCs/>
        </w:rPr>
        <w:t>二十、投标文件的修改和补充</w:t>
      </w:r>
      <w:bookmarkEnd w:id="135"/>
      <w:bookmarkEnd w:id="136"/>
      <w:bookmarkEnd w:id="137"/>
      <w:bookmarkEnd w:id="138"/>
      <w:bookmarkEnd w:id="139"/>
      <w:bookmarkEnd w:id="140"/>
    </w:p>
    <w:p>
      <w:pPr>
        <w:spacing w:line="360" w:lineRule="exact"/>
        <w:ind w:firstLine="420" w:firstLineChars="200"/>
        <w:rPr>
          <w:rFonts w:ascii="宋体" w:hAnsi="宋体"/>
        </w:rPr>
      </w:pPr>
      <w:r>
        <w:rPr>
          <w:rFonts w:hint="eastAsia" w:ascii="宋体" w:hAnsi="宋体" w:cs="方正细圆简体"/>
        </w:rPr>
        <w:t>在评标结束以后，投标人不论中标与否均不得收回投标文件，各投标人的投标文件由招标人归档，以便接受上级部门的复查。</w:t>
      </w:r>
    </w:p>
    <w:p>
      <w:pPr>
        <w:tabs>
          <w:tab w:val="left" w:pos="945"/>
        </w:tabs>
        <w:spacing w:before="120" w:beforeLines="50" w:after="120" w:afterLines="50" w:line="360" w:lineRule="exact"/>
        <w:ind w:left="540" w:firstLine="422" w:firstLineChars="200"/>
        <w:outlineLvl w:val="1"/>
        <w:rPr>
          <w:rFonts w:ascii="宋体" w:hAnsi="宋体"/>
          <w:b/>
          <w:bCs/>
        </w:rPr>
      </w:pPr>
      <w:bookmarkStart w:id="141" w:name="_Toc4549"/>
      <w:bookmarkStart w:id="142" w:name="_Toc22337"/>
      <w:bookmarkStart w:id="143" w:name="_Toc13371"/>
      <w:bookmarkStart w:id="144" w:name="_Toc12868"/>
      <w:bookmarkStart w:id="145" w:name="_Toc3013"/>
      <w:bookmarkStart w:id="146" w:name="_Toc27381"/>
      <w:r>
        <w:rPr>
          <w:rFonts w:hint="eastAsia" w:ascii="宋体" w:hAnsi="宋体" w:cs="方正细圆简体"/>
          <w:b/>
          <w:bCs/>
        </w:rPr>
        <w:t>二十一、开标</w:t>
      </w:r>
      <w:bookmarkEnd w:id="141"/>
      <w:bookmarkEnd w:id="142"/>
      <w:bookmarkEnd w:id="143"/>
      <w:bookmarkEnd w:id="144"/>
      <w:bookmarkEnd w:id="145"/>
      <w:bookmarkEnd w:id="146"/>
    </w:p>
    <w:p>
      <w:pPr>
        <w:tabs>
          <w:tab w:val="left" w:pos="945"/>
        </w:tabs>
        <w:spacing w:line="360" w:lineRule="exact"/>
        <w:ind w:left="315" w:firstLine="420" w:firstLineChars="200"/>
        <w:rPr>
          <w:rFonts w:ascii="宋体" w:hAnsi="宋体"/>
        </w:rPr>
      </w:pPr>
      <w:r>
        <w:rPr>
          <w:rFonts w:hint="eastAsia" w:ascii="宋体" w:hAnsi="宋体" w:cs="方正细圆简体"/>
        </w:rPr>
        <w:t>招标人自主开标。</w:t>
      </w:r>
    </w:p>
    <w:p>
      <w:pPr>
        <w:tabs>
          <w:tab w:val="left" w:pos="945"/>
        </w:tabs>
        <w:spacing w:before="120" w:beforeLines="50" w:after="120" w:afterLines="50" w:line="360" w:lineRule="exact"/>
        <w:ind w:left="540" w:firstLine="422" w:firstLineChars="200"/>
        <w:outlineLvl w:val="1"/>
        <w:rPr>
          <w:rFonts w:ascii="宋体" w:hAnsi="宋体"/>
          <w:b/>
          <w:bCs/>
        </w:rPr>
      </w:pPr>
      <w:bookmarkStart w:id="147" w:name="_Toc3028"/>
      <w:bookmarkStart w:id="148" w:name="_Toc25031"/>
      <w:bookmarkStart w:id="149" w:name="_Toc32626"/>
      <w:bookmarkStart w:id="150" w:name="_Toc11794"/>
      <w:bookmarkStart w:id="151" w:name="_Toc9056"/>
      <w:bookmarkStart w:id="152" w:name="_Toc24728"/>
      <w:bookmarkStart w:id="153" w:name="_Toc26533"/>
      <w:bookmarkStart w:id="154" w:name="_Toc428"/>
      <w:bookmarkStart w:id="155" w:name="_Toc2548"/>
      <w:bookmarkStart w:id="156" w:name="_Toc20342"/>
      <w:r>
        <w:rPr>
          <w:rFonts w:hint="eastAsia" w:ascii="宋体" w:hAnsi="宋体" w:cs="方正细圆简体"/>
          <w:b/>
          <w:bCs/>
        </w:rPr>
        <w:t>二十二、议标</w:t>
      </w:r>
      <w:bookmarkEnd w:id="147"/>
      <w:bookmarkEnd w:id="148"/>
      <w:bookmarkEnd w:id="149"/>
      <w:bookmarkEnd w:id="150"/>
      <w:bookmarkEnd w:id="151"/>
      <w:bookmarkEnd w:id="152"/>
    </w:p>
    <w:p>
      <w:pPr>
        <w:spacing w:line="360" w:lineRule="exact"/>
        <w:ind w:firstLine="420" w:firstLineChars="200"/>
        <w:rPr>
          <w:rFonts w:ascii="宋体" w:hAnsi="宋体"/>
        </w:rPr>
      </w:pPr>
      <w:r>
        <w:rPr>
          <w:rFonts w:hint="eastAsia" w:ascii="宋体" w:hAnsi="宋体" w:cs="方正细圆简体"/>
        </w:rPr>
        <w:t>议标时间、地点以招标人通知为准。</w:t>
      </w:r>
    </w:p>
    <w:p>
      <w:pPr>
        <w:tabs>
          <w:tab w:val="left" w:pos="945"/>
        </w:tabs>
        <w:spacing w:before="120" w:beforeLines="50" w:after="120" w:afterLines="50" w:line="360" w:lineRule="exact"/>
        <w:ind w:left="540" w:firstLine="422" w:firstLineChars="200"/>
        <w:outlineLvl w:val="1"/>
        <w:rPr>
          <w:rFonts w:ascii="宋体" w:hAnsi="宋体"/>
          <w:b/>
          <w:bCs/>
        </w:rPr>
      </w:pPr>
      <w:bookmarkStart w:id="157" w:name="_Toc21525"/>
      <w:bookmarkStart w:id="158" w:name="_Toc25979"/>
      <w:r>
        <w:rPr>
          <w:rFonts w:hint="eastAsia" w:ascii="宋体" w:hAnsi="宋体" w:cs="方正细圆简体"/>
          <w:b/>
          <w:bCs/>
        </w:rPr>
        <w:t>二十三、废标</w:t>
      </w:r>
      <w:bookmarkEnd w:id="153"/>
      <w:bookmarkEnd w:id="154"/>
      <w:bookmarkEnd w:id="155"/>
      <w:bookmarkEnd w:id="156"/>
      <w:bookmarkEnd w:id="157"/>
      <w:bookmarkEnd w:id="158"/>
    </w:p>
    <w:p>
      <w:pPr>
        <w:spacing w:line="360" w:lineRule="exact"/>
        <w:ind w:firstLine="1050" w:firstLineChars="500"/>
        <w:rPr>
          <w:rFonts w:ascii="宋体" w:hAnsi="宋体"/>
        </w:rPr>
      </w:pPr>
      <w:r>
        <w:rPr>
          <w:rFonts w:ascii="宋体" w:hAnsi="宋体" w:cs="方正细圆简体"/>
        </w:rPr>
        <w:t>2</w:t>
      </w:r>
      <w:r>
        <w:rPr>
          <w:rFonts w:hint="eastAsia" w:ascii="宋体" w:hAnsi="宋体" w:cs="方正细圆简体"/>
        </w:rPr>
        <w:t>3</w:t>
      </w:r>
      <w:r>
        <w:rPr>
          <w:rFonts w:ascii="宋体" w:hAnsi="宋体" w:cs="方正细圆简体"/>
        </w:rPr>
        <w:t>.1</w:t>
      </w:r>
      <w:r>
        <w:rPr>
          <w:rFonts w:hint="eastAsia" w:ascii="宋体" w:hAnsi="宋体" w:cs="方正细圆简体"/>
        </w:rPr>
        <w:t>投标文件有下列情形之一的，招标人有权拒绝：</w:t>
      </w:r>
    </w:p>
    <w:p>
      <w:pPr>
        <w:tabs>
          <w:tab w:val="left" w:pos="1890"/>
        </w:tabs>
        <w:spacing w:line="360" w:lineRule="exact"/>
        <w:ind w:firstLine="1050" w:firstLineChars="500"/>
        <w:rPr>
          <w:rFonts w:ascii="宋体" w:hAnsi="宋体"/>
        </w:rPr>
      </w:pPr>
      <w:r>
        <w:rPr>
          <w:rFonts w:ascii="宋体" w:hAnsi="宋体" w:cs="方正细圆简体"/>
        </w:rPr>
        <w:t>2</w:t>
      </w:r>
      <w:r>
        <w:rPr>
          <w:rFonts w:hint="eastAsia" w:ascii="宋体" w:hAnsi="宋体" w:cs="方正细圆简体"/>
        </w:rPr>
        <w:t>3</w:t>
      </w:r>
      <w:r>
        <w:rPr>
          <w:rFonts w:ascii="宋体" w:hAnsi="宋体" w:cs="方正细圆简体"/>
        </w:rPr>
        <w:t>.1.1</w:t>
      </w:r>
      <w:r>
        <w:rPr>
          <w:rFonts w:hint="eastAsia" w:ascii="宋体" w:hAnsi="宋体" w:cs="方正细圆简体"/>
        </w:rPr>
        <w:t>投标袋、投标书未按招标文件规定密封的；</w:t>
      </w:r>
    </w:p>
    <w:p>
      <w:pPr>
        <w:tabs>
          <w:tab w:val="left" w:pos="1890"/>
        </w:tabs>
        <w:spacing w:line="360" w:lineRule="exact"/>
        <w:ind w:firstLine="1050" w:firstLineChars="500"/>
        <w:rPr>
          <w:rFonts w:ascii="宋体" w:hAnsi="宋体"/>
        </w:rPr>
      </w:pPr>
      <w:r>
        <w:rPr>
          <w:rFonts w:ascii="宋体" w:hAnsi="宋体" w:cs="方正细圆简体"/>
        </w:rPr>
        <w:t>2</w:t>
      </w:r>
      <w:r>
        <w:rPr>
          <w:rFonts w:hint="eastAsia" w:ascii="宋体" w:hAnsi="宋体" w:cs="方正细圆简体"/>
        </w:rPr>
        <w:t>3</w:t>
      </w:r>
      <w:r>
        <w:rPr>
          <w:rFonts w:ascii="宋体" w:hAnsi="宋体" w:cs="方正细圆简体"/>
        </w:rPr>
        <w:t>.1.2</w:t>
      </w:r>
      <w:r>
        <w:rPr>
          <w:rFonts w:hint="eastAsia" w:ascii="宋体" w:hAnsi="宋体" w:cs="方正细圆简体"/>
        </w:rPr>
        <w:t>逾期送达的或者未送达指定地点的；</w:t>
      </w:r>
    </w:p>
    <w:p>
      <w:pPr>
        <w:spacing w:line="360" w:lineRule="exact"/>
        <w:ind w:firstLine="1050" w:firstLineChars="500"/>
        <w:rPr>
          <w:rFonts w:ascii="宋体" w:hAnsi="宋体"/>
        </w:rPr>
      </w:pPr>
      <w:r>
        <w:rPr>
          <w:rFonts w:ascii="宋体" w:hAnsi="宋体" w:cs="方正细圆简体"/>
        </w:rPr>
        <w:t>2</w:t>
      </w:r>
      <w:r>
        <w:rPr>
          <w:rFonts w:hint="eastAsia" w:ascii="宋体" w:hAnsi="宋体" w:cs="方正细圆简体"/>
        </w:rPr>
        <w:t>3</w:t>
      </w:r>
      <w:r>
        <w:rPr>
          <w:rFonts w:ascii="宋体" w:hAnsi="宋体" w:cs="方正细圆简体"/>
        </w:rPr>
        <w:t>.1.3</w:t>
      </w:r>
      <w:r>
        <w:rPr>
          <w:rFonts w:hint="eastAsia" w:ascii="宋体" w:hAnsi="宋体" w:cs="方正细圆简体"/>
        </w:rPr>
        <w:t>无单位公章或无法定代表人或法定代表人授权的代理人签字或盖章的；</w:t>
      </w:r>
    </w:p>
    <w:p>
      <w:pPr>
        <w:spacing w:line="360" w:lineRule="exact"/>
        <w:ind w:firstLine="1050" w:firstLineChars="500"/>
        <w:rPr>
          <w:rFonts w:ascii="宋体" w:hAnsi="宋体"/>
        </w:rPr>
      </w:pPr>
      <w:r>
        <w:rPr>
          <w:rFonts w:ascii="宋体" w:hAnsi="宋体" w:cs="方正细圆简体"/>
        </w:rPr>
        <w:t>2</w:t>
      </w:r>
      <w:r>
        <w:rPr>
          <w:rFonts w:hint="eastAsia" w:ascii="宋体" w:hAnsi="宋体" w:cs="方正细圆简体"/>
        </w:rPr>
        <w:t>3</w:t>
      </w:r>
      <w:r>
        <w:rPr>
          <w:rFonts w:ascii="宋体" w:hAnsi="宋体" w:cs="方正细圆简体"/>
        </w:rPr>
        <w:t>.1.4</w:t>
      </w:r>
      <w:r>
        <w:rPr>
          <w:rFonts w:hint="eastAsia" w:ascii="宋体" w:hAnsi="宋体" w:cs="方正细圆简体"/>
        </w:rPr>
        <w:t>未按规定的格式填写，内容不全或关键字迹模糊、无法辨认；</w:t>
      </w:r>
    </w:p>
    <w:p>
      <w:pPr>
        <w:spacing w:line="360" w:lineRule="exact"/>
        <w:ind w:left="426" w:leftChars="203" w:firstLine="630" w:firstLineChars="300"/>
        <w:rPr>
          <w:rFonts w:ascii="宋体" w:hAnsi="宋体"/>
        </w:rPr>
      </w:pPr>
      <w:r>
        <w:rPr>
          <w:rFonts w:ascii="宋体" w:hAnsi="宋体" w:cs="方正细圆简体"/>
        </w:rPr>
        <w:t>2</w:t>
      </w:r>
      <w:r>
        <w:rPr>
          <w:rFonts w:hint="eastAsia" w:ascii="宋体" w:hAnsi="宋体" w:cs="方正细圆简体"/>
        </w:rPr>
        <w:t>3</w:t>
      </w:r>
      <w:r>
        <w:rPr>
          <w:rFonts w:ascii="宋体" w:hAnsi="宋体" w:cs="方正细圆简体"/>
        </w:rPr>
        <w:t>.1.5</w:t>
      </w:r>
      <w:r>
        <w:rPr>
          <w:rFonts w:hint="eastAsia" w:ascii="宋体" w:hAnsi="宋体" w:cs="方正细圆简体"/>
        </w:rPr>
        <w:t>投标人递交两份或多份内容不同的投标文件，或在一份投标文件中对同一招标项目报有两个或多个报价；</w:t>
      </w:r>
    </w:p>
    <w:p>
      <w:pPr>
        <w:spacing w:line="360" w:lineRule="exact"/>
        <w:ind w:left="525" w:leftChars="250" w:firstLine="420" w:firstLineChars="200"/>
        <w:rPr>
          <w:rFonts w:ascii="宋体" w:hAnsi="宋体"/>
        </w:rPr>
      </w:pPr>
      <w:r>
        <w:rPr>
          <w:rFonts w:ascii="宋体" w:hAnsi="宋体" w:cs="方正细圆简体"/>
        </w:rPr>
        <w:t>2</w:t>
      </w:r>
      <w:r>
        <w:rPr>
          <w:rFonts w:hint="eastAsia" w:ascii="宋体" w:hAnsi="宋体" w:cs="方正细圆简体"/>
        </w:rPr>
        <w:t>3</w:t>
      </w:r>
      <w:r>
        <w:rPr>
          <w:rFonts w:ascii="宋体" w:hAnsi="宋体" w:cs="方正细圆简体"/>
        </w:rPr>
        <w:t>.1.6</w:t>
      </w:r>
      <w:r>
        <w:rPr>
          <w:rFonts w:hint="eastAsia" w:ascii="宋体" w:hAnsi="宋体" w:cs="方正细圆简体"/>
        </w:rPr>
        <w:t>投标人名称或组织结构与资格预审时不一致的；</w:t>
      </w:r>
    </w:p>
    <w:p>
      <w:pPr>
        <w:spacing w:line="360" w:lineRule="exact"/>
        <w:ind w:left="525" w:leftChars="250" w:firstLine="420" w:firstLineChars="200"/>
        <w:rPr>
          <w:rFonts w:ascii="宋体" w:hAnsi="宋体"/>
        </w:rPr>
      </w:pPr>
      <w:r>
        <w:rPr>
          <w:rFonts w:ascii="宋体" w:hAnsi="宋体" w:cs="方正细圆简体"/>
        </w:rPr>
        <w:t>2</w:t>
      </w:r>
      <w:r>
        <w:rPr>
          <w:rFonts w:hint="eastAsia" w:ascii="宋体" w:hAnsi="宋体" w:cs="方正细圆简体"/>
        </w:rPr>
        <w:t>3</w:t>
      </w:r>
      <w:r>
        <w:rPr>
          <w:rFonts w:ascii="宋体" w:hAnsi="宋体" w:cs="方正细圆简体"/>
        </w:rPr>
        <w:t>.1.7</w:t>
      </w:r>
      <w:r>
        <w:rPr>
          <w:rFonts w:hint="eastAsia" w:ascii="宋体" w:hAnsi="宋体" w:cs="方正细圆简体"/>
        </w:rPr>
        <w:t>投标人拒绝缴纳投标保证金的。（如有）</w:t>
      </w:r>
    </w:p>
    <w:p>
      <w:pPr>
        <w:tabs>
          <w:tab w:val="left" w:pos="945"/>
        </w:tabs>
        <w:spacing w:before="120" w:beforeLines="50" w:after="120" w:afterLines="50" w:line="360" w:lineRule="exact"/>
        <w:ind w:left="540" w:firstLine="422" w:firstLineChars="200"/>
        <w:outlineLvl w:val="1"/>
        <w:rPr>
          <w:rFonts w:ascii="宋体" w:hAnsi="宋体"/>
          <w:b/>
          <w:bCs/>
        </w:rPr>
      </w:pPr>
      <w:bookmarkStart w:id="159" w:name="_Toc32592"/>
      <w:bookmarkStart w:id="160" w:name="_Toc8748"/>
      <w:bookmarkStart w:id="161" w:name="_Toc28223"/>
      <w:bookmarkStart w:id="162" w:name="_Toc20037"/>
      <w:bookmarkStart w:id="163" w:name="_Toc13554"/>
      <w:bookmarkStart w:id="164" w:name="_Toc17444"/>
      <w:r>
        <w:rPr>
          <w:rFonts w:hint="eastAsia" w:ascii="宋体" w:hAnsi="宋体" w:cs="方正细圆简体"/>
          <w:b/>
          <w:bCs/>
        </w:rPr>
        <w:t>二十四、评标原则</w:t>
      </w:r>
      <w:bookmarkEnd w:id="159"/>
      <w:bookmarkEnd w:id="160"/>
      <w:bookmarkEnd w:id="161"/>
      <w:bookmarkEnd w:id="162"/>
      <w:bookmarkEnd w:id="163"/>
      <w:bookmarkEnd w:id="164"/>
    </w:p>
    <w:p>
      <w:pPr>
        <w:spacing w:line="360" w:lineRule="exact"/>
        <w:ind w:left="525" w:leftChars="250" w:firstLine="420" w:firstLineChars="200"/>
        <w:rPr>
          <w:rFonts w:ascii="宋体" w:hAnsi="宋体"/>
        </w:rPr>
      </w:pPr>
      <w:r>
        <w:rPr>
          <w:rFonts w:ascii="宋体" w:hAnsi="宋体" w:cs="方正细圆简体"/>
        </w:rPr>
        <w:t>2</w:t>
      </w:r>
      <w:r>
        <w:rPr>
          <w:rFonts w:hint="eastAsia" w:ascii="宋体" w:hAnsi="宋体" w:cs="方正细圆简体"/>
        </w:rPr>
        <w:t>4</w:t>
      </w:r>
      <w:r>
        <w:rPr>
          <w:rFonts w:ascii="宋体" w:hAnsi="宋体" w:cs="方正细圆简体"/>
        </w:rPr>
        <w:t>.1</w:t>
      </w:r>
      <w:r>
        <w:rPr>
          <w:rFonts w:hint="eastAsia" w:ascii="宋体" w:hAnsi="宋体" w:cs="方正细圆简体"/>
        </w:rPr>
        <w:t>评标原则：招标方根据评标依据，选择最适当的投标方中标。</w:t>
      </w:r>
    </w:p>
    <w:p>
      <w:pPr>
        <w:spacing w:line="360" w:lineRule="exact"/>
        <w:ind w:left="525" w:leftChars="250" w:firstLine="420" w:firstLineChars="200"/>
        <w:rPr>
          <w:rFonts w:ascii="宋体" w:hAnsi="宋体"/>
        </w:rPr>
      </w:pPr>
      <w:r>
        <w:rPr>
          <w:rFonts w:ascii="宋体" w:hAnsi="宋体" w:cs="方正细圆简体"/>
        </w:rPr>
        <w:t>2</w:t>
      </w:r>
      <w:r>
        <w:rPr>
          <w:rFonts w:hint="eastAsia" w:ascii="宋体" w:hAnsi="宋体" w:cs="方正细圆简体"/>
        </w:rPr>
        <w:t>4</w:t>
      </w:r>
      <w:r>
        <w:rPr>
          <w:rFonts w:ascii="宋体" w:hAnsi="宋体" w:cs="方正细圆简体"/>
        </w:rPr>
        <w:t>.2</w:t>
      </w:r>
      <w:r>
        <w:rPr>
          <w:rFonts w:hint="eastAsia" w:ascii="宋体" w:hAnsi="宋体" w:cs="方正细圆简体"/>
        </w:rPr>
        <w:t>评标依据</w:t>
      </w:r>
      <w:r>
        <w:rPr>
          <w:rFonts w:ascii="宋体" w:hAnsi="宋体" w:cs="方正细圆简体"/>
        </w:rPr>
        <w:t>:</w:t>
      </w:r>
    </w:p>
    <w:p>
      <w:pPr>
        <w:spacing w:line="360" w:lineRule="exact"/>
        <w:ind w:left="525" w:leftChars="250" w:firstLine="420" w:firstLineChars="200"/>
        <w:rPr>
          <w:rFonts w:ascii="宋体" w:hAnsi="宋体"/>
        </w:rPr>
      </w:pPr>
      <w:r>
        <w:rPr>
          <w:rFonts w:ascii="宋体" w:hAnsi="宋体" w:cs="方正细圆简体"/>
        </w:rPr>
        <w:t>2</w:t>
      </w:r>
      <w:r>
        <w:rPr>
          <w:rFonts w:hint="eastAsia" w:ascii="宋体" w:hAnsi="宋体" w:cs="方正细圆简体"/>
        </w:rPr>
        <w:t>4</w:t>
      </w:r>
      <w:r>
        <w:rPr>
          <w:rFonts w:ascii="宋体" w:hAnsi="宋体" w:cs="方正细圆简体"/>
        </w:rPr>
        <w:t>.2.1</w:t>
      </w:r>
      <w:r>
        <w:rPr>
          <w:rFonts w:hint="eastAsia" w:ascii="宋体" w:hAnsi="宋体" w:cs="方正细圆简体"/>
        </w:rPr>
        <w:t>费用：最低价格。</w:t>
      </w:r>
    </w:p>
    <w:p>
      <w:pPr>
        <w:spacing w:line="360" w:lineRule="exact"/>
        <w:ind w:left="525" w:leftChars="250" w:firstLine="420" w:firstLineChars="200"/>
        <w:rPr>
          <w:rFonts w:ascii="宋体" w:hAnsi="宋体"/>
        </w:rPr>
      </w:pPr>
      <w:r>
        <w:rPr>
          <w:rFonts w:ascii="宋体" w:hAnsi="宋体" w:cs="方正细圆简体"/>
        </w:rPr>
        <w:t>2</w:t>
      </w:r>
      <w:r>
        <w:rPr>
          <w:rFonts w:hint="eastAsia" w:ascii="宋体" w:hAnsi="宋体" w:cs="方正细圆简体"/>
        </w:rPr>
        <w:t>4</w:t>
      </w:r>
      <w:r>
        <w:rPr>
          <w:rFonts w:ascii="宋体" w:hAnsi="宋体" w:cs="方正细圆简体"/>
        </w:rPr>
        <w:t>.2.2</w:t>
      </w:r>
      <w:r>
        <w:rPr>
          <w:rFonts w:hint="eastAsia" w:ascii="宋体" w:hAnsi="宋体" w:cs="方正细圆简体"/>
        </w:rPr>
        <w:t>履约保证措施：投标方提供的完善的履约保证措施及其保证。</w:t>
      </w:r>
    </w:p>
    <w:p>
      <w:pPr>
        <w:spacing w:line="360" w:lineRule="exact"/>
        <w:ind w:left="525" w:leftChars="250" w:firstLine="420" w:firstLineChars="200"/>
        <w:rPr>
          <w:rFonts w:ascii="宋体" w:hAnsi="宋体"/>
        </w:rPr>
      </w:pPr>
      <w:r>
        <w:rPr>
          <w:rFonts w:ascii="宋体" w:hAnsi="宋体" w:cs="方正细圆简体"/>
        </w:rPr>
        <w:t>2</w:t>
      </w:r>
      <w:r>
        <w:rPr>
          <w:rFonts w:hint="eastAsia" w:ascii="宋体" w:hAnsi="宋体" w:cs="方正细圆简体"/>
        </w:rPr>
        <w:t>4</w:t>
      </w:r>
      <w:r>
        <w:rPr>
          <w:rFonts w:ascii="宋体" w:hAnsi="宋体" w:cs="方正细圆简体"/>
        </w:rPr>
        <w:t>.2.3</w:t>
      </w:r>
      <w:r>
        <w:rPr>
          <w:rFonts w:hint="eastAsia" w:ascii="宋体" w:hAnsi="宋体" w:cs="方正细圆简体"/>
        </w:rPr>
        <w:t>质量：满足招标条件的要求，质量优良。</w:t>
      </w:r>
    </w:p>
    <w:p>
      <w:pPr>
        <w:spacing w:line="360" w:lineRule="exact"/>
        <w:ind w:left="525" w:leftChars="250" w:firstLine="420" w:firstLineChars="200"/>
        <w:rPr>
          <w:rFonts w:ascii="宋体" w:hAnsi="宋体"/>
        </w:rPr>
      </w:pPr>
      <w:r>
        <w:rPr>
          <w:rFonts w:ascii="宋体" w:hAnsi="宋体" w:cs="方正细圆简体"/>
        </w:rPr>
        <w:t>2</w:t>
      </w:r>
      <w:r>
        <w:rPr>
          <w:rFonts w:hint="eastAsia" w:ascii="宋体" w:hAnsi="宋体" w:cs="方正细圆简体"/>
        </w:rPr>
        <w:t>4</w:t>
      </w:r>
      <w:r>
        <w:rPr>
          <w:rFonts w:ascii="宋体" w:hAnsi="宋体" w:cs="方正细圆简体"/>
        </w:rPr>
        <w:t>.2.4</w:t>
      </w:r>
      <w:r>
        <w:rPr>
          <w:rFonts w:hint="eastAsia" w:ascii="宋体" w:hAnsi="宋体" w:cs="方正细圆简体"/>
        </w:rPr>
        <w:t>供货期限：保证按招标方项目的具体要求供货及时。</w:t>
      </w:r>
    </w:p>
    <w:p>
      <w:pPr>
        <w:spacing w:line="360" w:lineRule="exact"/>
        <w:ind w:left="525" w:leftChars="250" w:firstLine="420" w:firstLineChars="200"/>
        <w:rPr>
          <w:rFonts w:ascii="宋体" w:hAnsi="宋体"/>
        </w:rPr>
      </w:pPr>
      <w:r>
        <w:rPr>
          <w:rFonts w:ascii="宋体" w:hAnsi="宋体" w:cs="方正细圆简体"/>
        </w:rPr>
        <w:t>2</w:t>
      </w:r>
      <w:r>
        <w:rPr>
          <w:rFonts w:hint="eastAsia" w:ascii="宋体" w:hAnsi="宋体" w:cs="方正细圆简体"/>
        </w:rPr>
        <w:t>4</w:t>
      </w:r>
      <w:r>
        <w:rPr>
          <w:rFonts w:ascii="宋体" w:hAnsi="宋体" w:cs="方正细圆简体"/>
        </w:rPr>
        <w:t>.2.5</w:t>
      </w:r>
      <w:r>
        <w:rPr>
          <w:rFonts w:hint="eastAsia" w:ascii="宋体" w:hAnsi="宋体" w:cs="方正细圆简体"/>
        </w:rPr>
        <w:t>投标方信誉：良好的企业信誉。</w:t>
      </w:r>
    </w:p>
    <w:p>
      <w:pPr>
        <w:tabs>
          <w:tab w:val="left" w:pos="945"/>
        </w:tabs>
        <w:spacing w:before="120" w:beforeLines="50" w:after="120" w:afterLines="50" w:line="360" w:lineRule="exact"/>
        <w:ind w:left="540" w:firstLine="422" w:firstLineChars="200"/>
        <w:outlineLvl w:val="1"/>
        <w:rPr>
          <w:rFonts w:ascii="宋体" w:hAnsi="宋体"/>
          <w:b/>
          <w:bCs/>
        </w:rPr>
      </w:pPr>
      <w:bookmarkStart w:id="165" w:name="_Toc22037"/>
      <w:bookmarkStart w:id="166" w:name="_Toc32014"/>
      <w:bookmarkStart w:id="167" w:name="_Toc23565"/>
      <w:bookmarkStart w:id="168" w:name="_Toc11543"/>
      <w:bookmarkStart w:id="169" w:name="_Toc14365"/>
      <w:bookmarkStart w:id="170" w:name="_Toc24124"/>
      <w:r>
        <w:rPr>
          <w:rFonts w:hint="eastAsia" w:ascii="宋体" w:hAnsi="宋体" w:cs="方正细圆简体"/>
          <w:b/>
          <w:bCs/>
        </w:rPr>
        <w:t>二十五、中标通知</w:t>
      </w:r>
      <w:bookmarkEnd w:id="165"/>
      <w:bookmarkEnd w:id="166"/>
      <w:bookmarkEnd w:id="167"/>
      <w:bookmarkEnd w:id="168"/>
      <w:bookmarkEnd w:id="169"/>
      <w:bookmarkEnd w:id="170"/>
    </w:p>
    <w:p>
      <w:pPr>
        <w:tabs>
          <w:tab w:val="left" w:pos="1050"/>
        </w:tabs>
        <w:spacing w:line="360" w:lineRule="exact"/>
        <w:ind w:firstLine="420" w:firstLineChars="200"/>
        <w:rPr>
          <w:rFonts w:ascii="宋体" w:hAnsi="宋体"/>
        </w:rPr>
      </w:pPr>
      <w:r>
        <w:rPr>
          <w:rFonts w:hint="eastAsia" w:ascii="宋体" w:hAnsi="宋体" w:cs="方正细圆简体"/>
        </w:rPr>
        <w:t>定标后，由招标人向中标人发出中标通知书。招标人对未中标的投标人不作任何未中标原因的解释。</w:t>
      </w:r>
    </w:p>
    <w:p>
      <w:pPr>
        <w:tabs>
          <w:tab w:val="left" w:pos="945"/>
        </w:tabs>
        <w:spacing w:before="120" w:beforeLines="50" w:after="120" w:afterLines="50" w:line="360" w:lineRule="exact"/>
        <w:ind w:left="540" w:firstLine="422" w:firstLineChars="200"/>
        <w:outlineLvl w:val="1"/>
        <w:rPr>
          <w:rFonts w:ascii="宋体" w:hAnsi="宋体"/>
          <w:b/>
          <w:bCs/>
        </w:rPr>
      </w:pPr>
      <w:bookmarkStart w:id="171" w:name="_Toc25453"/>
      <w:bookmarkStart w:id="172" w:name="_Toc29435"/>
      <w:bookmarkStart w:id="173" w:name="_Toc28215"/>
      <w:bookmarkStart w:id="174" w:name="_Toc15771"/>
      <w:bookmarkStart w:id="175" w:name="_Toc2701"/>
      <w:bookmarkStart w:id="176" w:name="_Toc1556"/>
      <w:bookmarkStart w:id="177" w:name="_Toc30875"/>
      <w:bookmarkStart w:id="178" w:name="_Toc2647"/>
      <w:bookmarkStart w:id="179" w:name="_Toc12125"/>
      <w:bookmarkStart w:id="180" w:name="_Toc20356"/>
      <w:r>
        <w:rPr>
          <w:rFonts w:hint="eastAsia" w:ascii="宋体" w:hAnsi="宋体" w:cs="方正细圆简体"/>
          <w:b/>
          <w:bCs/>
        </w:rPr>
        <w:t>二十六、签订供货合同</w:t>
      </w:r>
      <w:bookmarkEnd w:id="171"/>
      <w:bookmarkEnd w:id="172"/>
      <w:bookmarkEnd w:id="173"/>
      <w:bookmarkEnd w:id="174"/>
      <w:bookmarkEnd w:id="175"/>
      <w:bookmarkEnd w:id="176"/>
    </w:p>
    <w:p>
      <w:pPr>
        <w:spacing w:line="360" w:lineRule="exact"/>
        <w:ind w:left="525" w:leftChars="250" w:firstLine="420" w:firstLineChars="200"/>
        <w:rPr>
          <w:rFonts w:ascii="宋体" w:hAnsi="宋体" w:cs="方正细圆简体"/>
        </w:rPr>
      </w:pPr>
      <w:r>
        <w:rPr>
          <w:rFonts w:ascii="宋体" w:hAnsi="宋体" w:cs="方正细圆简体"/>
        </w:rPr>
        <w:t>2</w:t>
      </w:r>
      <w:r>
        <w:rPr>
          <w:rFonts w:hint="eastAsia" w:ascii="宋体" w:hAnsi="宋体" w:cs="方正细圆简体"/>
        </w:rPr>
        <w:t>6.1中标人应在规定的时间、地点与招标人签订合同。</w:t>
      </w:r>
    </w:p>
    <w:p>
      <w:pPr>
        <w:spacing w:line="360" w:lineRule="exact"/>
        <w:ind w:left="525" w:leftChars="250" w:firstLine="420" w:firstLineChars="200"/>
        <w:rPr>
          <w:rFonts w:ascii="宋体" w:hAnsi="宋体" w:cs="方正细圆简体"/>
        </w:rPr>
      </w:pPr>
      <w:r>
        <w:rPr>
          <w:rFonts w:hint="eastAsia" w:ascii="宋体" w:hAnsi="宋体" w:cs="方正细圆简体"/>
        </w:rPr>
        <w:t>26.2当中标人未按规定的时间、地点同招标人签订合同时，招标人将选择下一中标候选人中标，组织签订合同并不退还投标保证金。</w:t>
      </w:r>
      <w:bookmarkStart w:id="181" w:name="_Toc28149"/>
    </w:p>
    <w:bookmarkEnd w:id="181"/>
    <w:p>
      <w:pPr>
        <w:tabs>
          <w:tab w:val="left" w:pos="945"/>
        </w:tabs>
        <w:spacing w:before="120" w:beforeLines="50" w:after="120" w:afterLines="50" w:line="360" w:lineRule="auto"/>
        <w:ind w:left="540" w:firstLine="422" w:firstLineChars="200"/>
        <w:outlineLvl w:val="1"/>
        <w:rPr>
          <w:rFonts w:ascii="宋体" w:hAnsi="宋体" w:cs="方正细圆简体"/>
          <w:b/>
          <w:bCs/>
        </w:rPr>
      </w:pPr>
      <w:bookmarkStart w:id="182" w:name="_Toc19050"/>
      <w:bookmarkStart w:id="183" w:name="_Toc10632"/>
      <w:bookmarkStart w:id="184" w:name="_Toc9022"/>
      <w:bookmarkStart w:id="185" w:name="_Toc12057"/>
      <w:r>
        <w:rPr>
          <w:rFonts w:hint="eastAsia" w:ascii="宋体" w:hAnsi="宋体" w:cs="方正细圆简体"/>
          <w:b/>
          <w:bCs/>
        </w:rPr>
        <w:t>二十七、供货周期</w:t>
      </w:r>
      <w:bookmarkEnd w:id="182"/>
      <w:bookmarkEnd w:id="183"/>
    </w:p>
    <w:p>
      <w:pPr>
        <w:tabs>
          <w:tab w:val="left" w:pos="1050"/>
        </w:tabs>
        <w:spacing w:line="360" w:lineRule="auto"/>
        <w:ind w:left="525" w:leftChars="250" w:firstLine="420" w:firstLineChars="200"/>
        <w:rPr>
          <w:rFonts w:ascii="宋体" w:hAnsi="宋体"/>
        </w:rPr>
        <w:sectPr>
          <w:pgSz w:w="11907" w:h="16840"/>
          <w:pgMar w:top="1440" w:right="1123" w:bottom="1440" w:left="1123" w:header="851" w:footer="851" w:gutter="0"/>
          <w:cols w:space="720" w:num="1"/>
          <w:docGrid w:linePitch="312" w:charSpace="0"/>
        </w:sectPr>
      </w:pPr>
      <w:r>
        <w:rPr>
          <w:rFonts w:hint="eastAsia" w:ascii="宋体" w:hAnsi="宋体" w:cs="方正细圆简体"/>
        </w:rPr>
        <w:t>招标人向中标人提交供货单后，中标人应在15天内完成备货并运输至招标人指定位置，其间产生的运费，货物搬运，人员差旅住宿，材料损耗等一切可能发生的费用应由中标人承担</w:t>
      </w:r>
    </w:p>
    <w:p>
      <w:pPr>
        <w:pStyle w:val="12"/>
        <w:spacing w:line="360" w:lineRule="exact"/>
        <w:ind w:left="0" w:leftChars="0"/>
        <w:outlineLvl w:val="0"/>
        <w:rPr>
          <w:b/>
          <w:bCs/>
          <w:sz w:val="21"/>
          <w:szCs w:val="21"/>
        </w:rPr>
      </w:pPr>
      <w:r>
        <w:rPr>
          <w:rFonts w:hint="eastAsia" w:cs="宋体"/>
          <w:b/>
          <w:bCs/>
          <w:sz w:val="30"/>
          <w:szCs w:val="30"/>
        </w:rPr>
        <w:t>第三部分技术要求</w:t>
      </w:r>
      <w:bookmarkEnd w:id="177"/>
      <w:bookmarkEnd w:id="178"/>
      <w:bookmarkEnd w:id="179"/>
      <w:bookmarkEnd w:id="180"/>
      <w:bookmarkEnd w:id="184"/>
      <w:bookmarkEnd w:id="185"/>
    </w:p>
    <w:p>
      <w:pPr>
        <w:tabs>
          <w:tab w:val="left" w:pos="945"/>
        </w:tabs>
        <w:spacing w:before="156" w:beforeLines="50" w:after="156" w:afterLines="50" w:line="360" w:lineRule="exact"/>
        <w:ind w:left="540" w:firstLine="422" w:firstLineChars="200"/>
        <w:outlineLvl w:val="1"/>
        <w:rPr>
          <w:rFonts w:ascii="宋体" w:hAnsi="宋体" w:cs="方正细圆简体"/>
          <w:b/>
          <w:bCs/>
        </w:rPr>
      </w:pPr>
      <w:bookmarkStart w:id="186" w:name="_Toc10968"/>
      <w:bookmarkStart w:id="187" w:name="_Toc6176"/>
      <w:bookmarkStart w:id="188" w:name="_Toc6860"/>
      <w:bookmarkStart w:id="189" w:name="_Toc12365"/>
      <w:bookmarkStart w:id="190" w:name="_Toc16674"/>
      <w:bookmarkStart w:id="191" w:name="_Toc30798"/>
      <w:r>
        <w:rPr>
          <w:rFonts w:hint="eastAsia" w:ascii="宋体" w:hAnsi="宋体" w:cs="方正细圆简体"/>
          <w:b/>
          <w:bCs/>
        </w:rPr>
        <w:t>一、基本原则</w:t>
      </w:r>
      <w:bookmarkEnd w:id="186"/>
      <w:bookmarkEnd w:id="187"/>
      <w:bookmarkEnd w:id="188"/>
      <w:bookmarkEnd w:id="189"/>
      <w:bookmarkEnd w:id="190"/>
      <w:bookmarkEnd w:id="191"/>
    </w:p>
    <w:p>
      <w:pPr>
        <w:spacing w:line="440" w:lineRule="exact"/>
        <w:ind w:firstLine="420" w:firstLineChars="200"/>
        <w:jc w:val="left"/>
        <w:rPr>
          <w:rFonts w:ascii="宋体" w:hAnsi="宋体" w:cs="Arial Unicode MS"/>
        </w:rPr>
      </w:pPr>
      <w:r>
        <w:rPr>
          <w:rFonts w:hint="eastAsia" w:ascii="宋体" w:hAnsi="宋体" w:cs="Arial Unicode MS"/>
        </w:rPr>
        <w:t>1.1本招标文件第四部分</w:t>
      </w:r>
      <w:r>
        <w:rPr>
          <w:rFonts w:hint="eastAsia" w:ascii="宋体" w:hAnsi="宋体" w:cs="宋体"/>
        </w:rPr>
        <w:t>附件三：全套采购图纸（电子版如果有）、附件四：全套技术规范书（电子版、含品牌要求）</w:t>
      </w:r>
      <w:r>
        <w:rPr>
          <w:rFonts w:hint="eastAsia" w:ascii="宋体" w:hAnsi="宋体" w:cs="Arial Unicode MS"/>
        </w:rPr>
        <w:t>纳入本技术要求涵盖范围，上述文件但凡涉及此次招标活动的内容及条款必须严格遵循响应。</w:t>
      </w:r>
    </w:p>
    <w:p>
      <w:pPr>
        <w:spacing w:line="440" w:lineRule="exact"/>
        <w:ind w:firstLine="420" w:firstLineChars="200"/>
        <w:jc w:val="left"/>
        <w:rPr>
          <w:rFonts w:ascii="宋体" w:hAnsi="宋体" w:cs="Arial Unicode MS"/>
        </w:rPr>
      </w:pPr>
      <w:r>
        <w:rPr>
          <w:rFonts w:hint="eastAsia" w:ascii="宋体" w:hAnsi="宋体" w:cs="Arial Unicode MS"/>
        </w:rPr>
        <w:t>1.2如投标方有不满足技术要求的条款或内容，则要求要优于招标文件的要求，并提供相关证明文件。</w:t>
      </w:r>
    </w:p>
    <w:p>
      <w:pPr>
        <w:spacing w:line="440" w:lineRule="exact"/>
        <w:ind w:firstLine="420" w:firstLineChars="200"/>
        <w:jc w:val="left"/>
        <w:rPr>
          <w:rFonts w:ascii="宋体" w:hAnsi="宋体" w:cs="Arial Unicode MS"/>
        </w:rPr>
      </w:pPr>
      <w:r>
        <w:rPr>
          <w:rFonts w:hint="eastAsia" w:ascii="宋体" w:hAnsi="宋体" w:cs="Arial Unicode MS"/>
        </w:rPr>
        <w:t>1.3投标人保证提供的所有技术数据与货物及服务均真实有效，否则由此产生的一切责任及损失均由投标方承担。</w:t>
      </w:r>
    </w:p>
    <w:p>
      <w:pPr>
        <w:numPr>
          <w:ilvl w:val="0"/>
          <w:numId w:val="4"/>
        </w:numPr>
        <w:tabs>
          <w:tab w:val="left" w:pos="945"/>
        </w:tabs>
        <w:spacing w:before="156" w:beforeLines="50" w:after="156" w:afterLines="50" w:line="360" w:lineRule="exact"/>
        <w:ind w:left="540" w:firstLine="422" w:firstLineChars="200"/>
        <w:outlineLvl w:val="1"/>
        <w:rPr>
          <w:rFonts w:ascii="宋体" w:hAnsi="宋体" w:cs="宋体"/>
        </w:rPr>
      </w:pPr>
      <w:bookmarkStart w:id="192" w:name="_Toc2872"/>
      <w:bookmarkStart w:id="193" w:name="_Toc3012"/>
      <w:r>
        <w:rPr>
          <w:rFonts w:hint="eastAsia" w:ascii="宋体" w:hAnsi="宋体" w:cs="方正细圆简体"/>
          <w:b/>
          <w:bCs/>
        </w:rPr>
        <w:t>质量技术要求</w:t>
      </w:r>
      <w:bookmarkEnd w:id="192"/>
      <w:bookmarkEnd w:id="193"/>
    </w:p>
    <w:p>
      <w:pPr>
        <w:pStyle w:val="49"/>
        <w:keepNext/>
        <w:widowControl/>
        <w:spacing w:before="240" w:after="240"/>
        <w:jc w:val="left"/>
        <w:rPr>
          <w:rFonts w:hint="eastAsia"/>
          <w:b/>
          <w:bCs/>
          <w:kern w:val="32"/>
          <w:sz w:val="28"/>
          <w:szCs w:val="32"/>
          <w:lang w:eastAsia="zh-CN"/>
        </w:rPr>
      </w:pPr>
      <w:bookmarkStart w:id="194" w:name="_Toc19290"/>
      <w:bookmarkStart w:id="195" w:name="_Toc27600"/>
      <w:bookmarkStart w:id="196" w:name="_Toc11030"/>
      <w:bookmarkStart w:id="197" w:name="_Toc18738"/>
      <w:bookmarkStart w:id="198" w:name="_Toc20298"/>
      <w:bookmarkStart w:id="199" w:name="_Toc18327"/>
      <w:r>
        <w:rPr>
          <w:rFonts w:hint="eastAsia"/>
          <w:b/>
          <w:bCs/>
          <w:kern w:val="32"/>
          <w:sz w:val="28"/>
          <w:szCs w:val="32"/>
          <w:lang w:eastAsia="zh-CN"/>
        </w:rPr>
        <w:t>变压器</w:t>
      </w:r>
    </w:p>
    <w:p>
      <w:pPr>
        <w:keepNext w:val="0"/>
        <w:keepLines w:val="0"/>
        <w:widowControl/>
        <w:suppressLineNumbers w:val="0"/>
        <w:jc w:val="left"/>
        <w:rPr>
          <w:rFonts w:hint="eastAsia" w:asciiTheme="majorEastAsia" w:hAnsiTheme="majorEastAsia" w:eastAsiaTheme="majorEastAsia" w:cstheme="majorEastAsia"/>
          <w:color w:val="000000"/>
          <w:kern w:val="0"/>
          <w:sz w:val="21"/>
          <w:szCs w:val="21"/>
          <w:lang w:val="en-US" w:eastAsia="zh-CN" w:bidi="ar"/>
        </w:rPr>
      </w:pPr>
      <w:r>
        <w:rPr>
          <w:rFonts w:hint="eastAsia" w:asciiTheme="majorEastAsia" w:hAnsiTheme="majorEastAsia" w:eastAsiaTheme="majorEastAsia" w:cstheme="majorEastAsia"/>
          <w:color w:val="000000"/>
          <w:kern w:val="0"/>
          <w:sz w:val="21"/>
          <w:szCs w:val="21"/>
          <w:lang w:val="en-US" w:eastAsia="zh-CN" w:bidi="ar"/>
        </w:rPr>
        <w:t xml:space="preserve">（1）额定电压变比：10/0.4/0.23KV； </w:t>
      </w:r>
    </w:p>
    <w:p>
      <w:pPr>
        <w:keepNext w:val="0"/>
        <w:keepLines w:val="0"/>
        <w:widowControl/>
        <w:suppressLineNumbers w:val="0"/>
        <w:jc w:val="left"/>
        <w:rPr>
          <w:rFonts w:hint="eastAsia" w:asciiTheme="majorEastAsia" w:hAnsiTheme="majorEastAsia" w:eastAsiaTheme="majorEastAsia" w:cstheme="majorEastAsia"/>
          <w:color w:val="000000"/>
          <w:kern w:val="0"/>
          <w:sz w:val="21"/>
          <w:szCs w:val="21"/>
          <w:lang w:val="en-US" w:eastAsia="zh-CN" w:bidi="ar"/>
        </w:rPr>
      </w:pPr>
      <w:r>
        <w:rPr>
          <w:rFonts w:hint="eastAsia" w:asciiTheme="majorEastAsia" w:hAnsiTheme="majorEastAsia" w:eastAsiaTheme="majorEastAsia" w:cstheme="majorEastAsia"/>
          <w:color w:val="000000"/>
          <w:kern w:val="0"/>
          <w:sz w:val="21"/>
          <w:szCs w:val="21"/>
          <w:lang w:val="en-US" w:eastAsia="zh-CN" w:bidi="ar"/>
        </w:rPr>
        <w:t xml:space="preserve">（2）频率：50HZ； </w:t>
      </w:r>
    </w:p>
    <w:p>
      <w:pPr>
        <w:keepNext w:val="0"/>
        <w:keepLines w:val="0"/>
        <w:widowControl/>
        <w:suppressLineNumbers w:val="0"/>
        <w:jc w:val="left"/>
        <w:rPr>
          <w:rFonts w:hint="eastAsia" w:asciiTheme="majorEastAsia" w:hAnsiTheme="majorEastAsia" w:eastAsiaTheme="majorEastAsia" w:cstheme="majorEastAsia"/>
          <w:color w:val="000000"/>
          <w:kern w:val="0"/>
          <w:sz w:val="21"/>
          <w:szCs w:val="21"/>
          <w:lang w:val="en-US" w:eastAsia="zh-CN" w:bidi="ar"/>
        </w:rPr>
      </w:pPr>
      <w:r>
        <w:rPr>
          <w:rFonts w:hint="eastAsia" w:asciiTheme="majorEastAsia" w:hAnsiTheme="majorEastAsia" w:eastAsiaTheme="majorEastAsia" w:cstheme="majorEastAsia"/>
          <w:color w:val="000000"/>
          <w:kern w:val="0"/>
          <w:sz w:val="21"/>
          <w:szCs w:val="21"/>
          <w:lang w:val="en-US" w:eastAsia="zh-CN" w:bidi="ar"/>
        </w:rPr>
        <w:t xml:space="preserve">（3）相数：三相； </w:t>
      </w:r>
    </w:p>
    <w:p>
      <w:pPr>
        <w:keepNext w:val="0"/>
        <w:keepLines w:val="0"/>
        <w:widowControl/>
        <w:suppressLineNumbers w:val="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（4）冷却方式：强制风冷； </w:t>
      </w:r>
    </w:p>
    <w:p>
      <w:pPr>
        <w:keepNext w:val="0"/>
        <w:keepLines w:val="0"/>
        <w:widowControl/>
        <w:suppressLineNumbers w:val="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（5）过载能力：满足 GB 和 IEC《干式变压器负载导则》要求； </w:t>
      </w:r>
    </w:p>
    <w:p>
      <w:pPr>
        <w:keepNext w:val="0"/>
        <w:keepLines w:val="0"/>
        <w:widowControl/>
        <w:suppressLineNumbers w:val="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（6）使用条件：海拔＜1000 米，环境温度 0℃～40℃； </w:t>
      </w:r>
    </w:p>
    <w:p>
      <w:pPr>
        <w:keepNext w:val="0"/>
        <w:keepLines w:val="0"/>
        <w:widowControl/>
        <w:suppressLineNumbers w:val="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（7）高压线圈额定承受雷电冲击电压： 125kV； </w:t>
      </w:r>
    </w:p>
    <w:p>
      <w:pPr>
        <w:keepNext w:val="0"/>
        <w:keepLines w:val="0"/>
        <w:widowControl/>
        <w:suppressLineNumbers w:val="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（8）高压线圈额定工频耐压： 55kV； </w:t>
      </w:r>
    </w:p>
    <w:p>
      <w:pPr>
        <w:keepNext w:val="0"/>
        <w:keepLines w:val="0"/>
        <w:widowControl/>
        <w:suppressLineNumbers w:val="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（9）低压线圈工频耐压： 3kV；</w:t>
      </w:r>
    </w:p>
    <w:p>
      <w:pPr>
        <w:keepNext w:val="0"/>
        <w:keepLines w:val="0"/>
        <w:widowControl/>
        <w:suppressLineNumbers w:val="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（10）低压线圈额定承受雷电冲击电压： 10kV； </w:t>
      </w:r>
    </w:p>
    <w:p>
      <w:pPr>
        <w:keepNext w:val="0"/>
        <w:keepLines w:val="0"/>
        <w:widowControl/>
        <w:suppressLineNumbers w:val="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（11）接线方式： D，Yn11； </w:t>
      </w:r>
    </w:p>
    <w:p>
      <w:pPr>
        <w:keepNext w:val="0"/>
        <w:keepLines w:val="0"/>
        <w:widowControl/>
        <w:suppressLineNumbers w:val="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（12）阻抗电压： Ud＝6％ (误差不大于±7.5%)，制造厂应提 供零序阻抗值； </w:t>
      </w:r>
    </w:p>
    <w:p>
      <w:pPr>
        <w:keepNext w:val="0"/>
        <w:keepLines w:val="0"/>
        <w:widowControl/>
        <w:suppressLineNumbers w:val="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（13）耐地震能力：地面水平加速度 0.2g；垂直加速度 0.1g 同时作用。安全系数不小于 1.67； </w:t>
      </w:r>
    </w:p>
    <w:p>
      <w:pPr>
        <w:keepNext w:val="0"/>
        <w:keepLines w:val="0"/>
        <w:widowControl/>
        <w:suppressLineNumbers w:val="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（14）分接头：高压侧装+5.0%,+2.5%,0,-2.5%,-5.0% 五位空 载分接头变换器，并有明确的分接位置指示；</w:t>
      </w:r>
    </w:p>
    <w:p>
      <w:pPr>
        <w:keepNext w:val="0"/>
        <w:keepLines w:val="0"/>
        <w:widowControl/>
        <w:suppressLineNumbers w:val="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（15）绝缘等级：F 级； </w:t>
      </w:r>
    </w:p>
    <w:p>
      <w:pPr>
        <w:keepNext w:val="0"/>
        <w:keepLines w:val="0"/>
        <w:widowControl/>
        <w:suppressLineNumbers w:val="0"/>
        <w:ind w:left="630" w:hanging="630" w:hangingChars="3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（16）噪声水平：800KVA：不超过 52dB；1000KVA：不超过 53dB ；1250kVA：不超过 54dB；1600、2000KVA：不超过 55dB；2500KVA： 不超过 56dB；</w:t>
      </w:r>
    </w:p>
    <w:p>
      <w:pPr>
        <w:keepNext w:val="0"/>
        <w:keepLines w:val="0"/>
        <w:widowControl/>
        <w:suppressLineNumbers w:val="0"/>
        <w:ind w:left="630" w:hanging="630" w:hangingChars="3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（17）损耗：满足 GB 20052 中一级能耗标准。负载损耗：额定 电压、额定容量、功率因数 0.85（滞后）工况下，不大于输入功 率的 1%； </w:t>
      </w:r>
    </w:p>
    <w:p>
      <w:pPr>
        <w:keepNext w:val="0"/>
        <w:keepLines w:val="0"/>
        <w:widowControl/>
        <w:suppressLineNumbers w:val="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（18）进出线方式：按设计要求； </w:t>
      </w:r>
    </w:p>
    <w:p>
      <w:pPr>
        <w:keepNext w:val="0"/>
        <w:keepLines w:val="0"/>
        <w:widowControl/>
        <w:suppressLineNumbers w:val="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（19）线圈材料：两组线圈均为铜导体； </w:t>
      </w:r>
    </w:p>
    <w:p>
      <w:pPr>
        <w:keepNext w:val="0"/>
        <w:keepLines w:val="0"/>
        <w:widowControl/>
        <w:suppressLineNumbers w:val="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（20）变压器外壳防护等级:按设计要求； </w:t>
      </w:r>
    </w:p>
    <w:p>
      <w:pPr>
        <w:keepNext w:val="0"/>
        <w:keepLines w:val="0"/>
        <w:widowControl/>
        <w:suppressLineNumbers w:val="0"/>
        <w:ind w:left="630" w:hanging="630" w:hangingChars="3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（21）局放水平：在相间施加 1.8Ur 的预加电压、时间 30 秒后， 将电压降至 1.3Ur 继续试验 3 分钟的放电量小于 10pC； </w:t>
      </w:r>
    </w:p>
    <w:p>
      <w:pPr>
        <w:keepNext w:val="0"/>
        <w:keepLines w:val="0"/>
        <w:widowControl/>
        <w:suppressLineNumbers w:val="0"/>
        <w:ind w:left="630" w:hanging="630" w:hangingChars="3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（22）变压器中的各组件及其支持绝缘件的外绝缘件的外绝缘 爬电比距（高压电器组件外绝缘的爬电距离与最高电压之比）应按 凝露型考虑，并符合 GB1094 标准； </w:t>
      </w:r>
    </w:p>
    <w:p>
      <w:pPr>
        <w:keepNext w:val="0"/>
        <w:keepLines w:val="0"/>
        <w:widowControl/>
        <w:suppressLineNumbers w:val="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（23）产品阻燃性好，绝缘材料具有自动熄火的特性，遇到火 源时不产生有害气体。 </w:t>
      </w:r>
    </w:p>
    <w:p>
      <w:pPr>
        <w:keepNext w:val="0"/>
        <w:keepLines w:val="0"/>
        <w:widowControl/>
        <w:suppressLineNumbers w:val="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三、材料、结构及工艺水平要求 </w:t>
      </w:r>
    </w:p>
    <w:p>
      <w:pPr>
        <w:keepNext w:val="0"/>
        <w:keepLines w:val="0"/>
        <w:widowControl/>
        <w:suppressLineNumbers w:val="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（1)高压、低压绝缘材料须达到 F 级绝缘。 </w:t>
      </w:r>
    </w:p>
    <w:p>
      <w:pPr>
        <w:keepNext w:val="0"/>
        <w:keepLines w:val="0"/>
        <w:widowControl/>
        <w:suppressLineNumbers w:val="0"/>
        <w:ind w:left="420" w:hanging="420" w:hanging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（2)铁芯采用冷轧低损耗硅钢片材料，迭装后表面应光滑，无伤痕，整齐美观。铁芯上下夹件不设拉螺杆。应使用强度高的钢板制作。焊接整齐无毛刺。 </w:t>
      </w:r>
    </w:p>
    <w:p>
      <w:pPr>
        <w:keepNext w:val="0"/>
        <w:keepLines w:val="0"/>
        <w:widowControl/>
        <w:suppressLineNumbers w:val="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（3)浇注后的高压线圈表面环氧真空树脂层应均匀、光滑平整、 线圈表面不应补刷树脂及绝缘漆。 </w:t>
      </w:r>
    </w:p>
    <w:p>
      <w:pPr>
        <w:keepNext w:val="0"/>
        <w:keepLines w:val="0"/>
        <w:widowControl/>
        <w:suppressLineNumbers w:val="0"/>
        <w:ind w:left="420" w:hanging="420" w:hanging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（4)低压线圈采用铜线或铜箔绕制，线圈端部采用 DMD 材料及 环氧真空树脂充填包封，端封应充填平整，线圈内部不留空隙。 </w:t>
      </w:r>
    </w:p>
    <w:p>
      <w:pPr>
        <w:keepNext w:val="0"/>
        <w:keepLines w:val="0"/>
        <w:widowControl/>
        <w:suppressLineNumbers w:val="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（5)高压、低压引出要有一定的电流裕度并须经绝缘子与外部 连接。 </w:t>
      </w:r>
    </w:p>
    <w:p>
      <w:pPr>
        <w:keepNext w:val="0"/>
        <w:keepLines w:val="0"/>
        <w:widowControl/>
        <w:suppressLineNumbers w:val="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（6)铁芯及全部金属部件须有防锈处理。 </w:t>
      </w:r>
    </w:p>
    <w:p>
      <w:pPr>
        <w:keepNext w:val="0"/>
        <w:keepLines w:val="0"/>
        <w:widowControl/>
        <w:suppressLineNumbers w:val="0"/>
        <w:ind w:left="630" w:hanging="630" w:hangingChars="3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（7) 外壳：采用优质冷扎钢板，钢板表面采用静电粉末喷涂，防护等级达到 IP3X 及以上。低压侧出线排需与低压配电屏水平 母排协调以便于接驳，不论与低压柜采用侧面连接还是上方连接， 均被视为已包括在本承包合约工作范围之内。 </w:t>
      </w:r>
    </w:p>
    <w:p>
      <w:pPr>
        <w:keepNext w:val="0"/>
        <w:keepLines w:val="0"/>
        <w:widowControl/>
        <w:suppressLineNumbers w:val="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（8)变压器本体及设备外壳上应设有接地装置。 </w:t>
      </w:r>
    </w:p>
    <w:p>
      <w:pPr>
        <w:keepNext w:val="0"/>
        <w:keepLines w:val="0"/>
        <w:widowControl/>
        <w:suppressLineNumbers w:val="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（9)变压器带风机，采用低噪音且不显著改变设备外形尺寸的 轴流风机。 </w:t>
      </w:r>
    </w:p>
    <w:p>
      <w:pPr>
        <w:keepNext w:val="0"/>
        <w:keepLines w:val="0"/>
        <w:widowControl/>
        <w:suppressLineNumbers w:val="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（10) 连接/紧固螺栓材质应选用不锈钢，满足设备承受短路 能力要求。 </w:t>
      </w:r>
    </w:p>
    <w:p>
      <w:pPr>
        <w:keepNext w:val="0"/>
        <w:keepLines w:val="0"/>
        <w:widowControl/>
        <w:suppressLineNumbers w:val="0"/>
        <w:ind w:left="630" w:hanging="630" w:hangingChars="3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（11)所有设备和材料及设计安装方案必须考虑到防火阻燃性能，做到高阻燃、低烟、无卤，并提供送国内或国际权威检测机构 试验同类产品的燃烧试验报告。 </w:t>
      </w:r>
    </w:p>
    <w:p>
      <w:pPr>
        <w:keepNext w:val="0"/>
        <w:keepLines w:val="0"/>
        <w:widowControl/>
        <w:suppressLineNumbers w:val="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四、其它要求 </w:t>
      </w:r>
    </w:p>
    <w:p>
      <w:pPr>
        <w:keepNext w:val="0"/>
        <w:keepLines w:val="0"/>
        <w:widowControl/>
        <w:suppressLineNumbers w:val="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1、为智能配电监控系统提供通讯接口（接口形式为 RS485）及标准的开放的通信协议。 </w:t>
      </w:r>
    </w:p>
    <w:p>
      <w:pPr>
        <w:keepNext w:val="0"/>
        <w:keepLines w:val="0"/>
        <w:widowControl/>
        <w:suppressLineNumbers w:val="0"/>
        <w:ind w:left="210" w:hanging="210" w:hangingChars="1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2、提供智能型温控温显装置，并向智能配电监控系统提供不少于以下内容的数据以供智能配电监控系统完成该部分数据采集： </w:t>
      </w:r>
    </w:p>
    <w:p>
      <w:pPr>
        <w:keepNext w:val="0"/>
        <w:keepLines w:val="0"/>
        <w:widowControl/>
        <w:suppressLineNumbers w:val="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（1）数字温度显示变压器三相低压绕组的温度。 </w:t>
      </w:r>
    </w:p>
    <w:p>
      <w:pPr>
        <w:keepNext w:val="0"/>
        <w:keepLines w:val="0"/>
        <w:widowControl/>
        <w:suppressLineNumbers w:val="0"/>
        <w:ind w:left="420" w:hanging="420" w:hanging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（2）控制风机启停：当变压器低压线圈温度达到 110℃（出厂设定，也可根据用户要求另设）时，现场发出声光报警，同时输出 报警信号，为智能配电监控系统提供无源干接点报警信号并预留专用接线端子。 </w:t>
      </w:r>
    </w:p>
    <w:p>
      <w:pPr>
        <w:keepNext w:val="0"/>
        <w:keepLines w:val="0"/>
        <w:widowControl/>
        <w:suppressLineNumbers w:val="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（3）检测温控系统故障： </w:t>
      </w:r>
    </w:p>
    <w:p>
      <w:pPr>
        <w:keepNext w:val="0"/>
        <w:keepLines w:val="0"/>
        <w:widowControl/>
        <w:suppressLineNumbers w:val="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A、检测测量线路断线故障。 </w:t>
      </w:r>
    </w:p>
    <w:p>
      <w:pPr>
        <w:keepNext w:val="0"/>
        <w:keepLines w:val="0"/>
        <w:widowControl/>
        <w:suppressLineNumbers w:val="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B、检测温控器自身故障。 </w:t>
      </w:r>
    </w:p>
    <w:p>
      <w:pPr>
        <w:keepNext w:val="0"/>
        <w:keepLines w:val="0"/>
        <w:widowControl/>
        <w:suppressLineNumbers w:val="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（4）报警信号 </w:t>
      </w:r>
    </w:p>
    <w:p>
      <w:pPr>
        <w:keepNext w:val="0"/>
        <w:keepLines w:val="0"/>
        <w:widowControl/>
        <w:suppressLineNumbers w:val="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A、当变压器线圈超过出厂设定值（也可根据用户要求另设）时，发出报警信号，提供无源干接点报警信号。 </w:t>
      </w:r>
    </w:p>
    <w:p>
      <w:pPr>
        <w:keepNext w:val="0"/>
        <w:keepLines w:val="0"/>
        <w:widowControl/>
        <w:suppressLineNumbers w:val="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B、当测量线路断线或温控器自身发生故障时报警。 </w:t>
      </w:r>
    </w:p>
    <w:p>
      <w:pPr>
        <w:keepNext w:val="0"/>
        <w:keepLines w:val="0"/>
        <w:widowControl/>
        <w:suppressLineNumbers w:val="0"/>
        <w:ind w:left="420" w:hanging="420" w:hanging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（5）当变压器低压线圈温度达到 140℃（出厂时设定也可根据用户要求另设）时，输出跳闸信号，提供无源干接点跳闸信号。 </w:t>
      </w:r>
    </w:p>
    <w:p>
      <w:pPr>
        <w:keepNext w:val="0"/>
        <w:keepLines w:val="0"/>
        <w:widowControl/>
        <w:suppressLineNumbers w:val="0"/>
        <w:ind w:left="420" w:hanging="420" w:hanging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3、质量保证期为 2 年。在此期间，如遇与所供产品有关的问题在接用户通知后 4 小时内应赶到现场提供免费服务。 </w:t>
      </w:r>
    </w:p>
    <w:p>
      <w:pPr>
        <w:keepNext w:val="0"/>
        <w:keepLines w:val="0"/>
        <w:widowControl/>
        <w:suppressLineNumbers w:val="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四、技术文件 </w:t>
      </w:r>
    </w:p>
    <w:p>
      <w:pPr>
        <w:keepNext w:val="0"/>
        <w:keepLines w:val="0"/>
        <w:widowControl/>
        <w:suppressLineNumbers w:val="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1、承包人所提供的技术文件应为中文，并应使用 IEC 和 GB 所规定的标准符号和术语。 </w:t>
      </w:r>
    </w:p>
    <w:p>
      <w:pPr>
        <w:keepNext w:val="0"/>
        <w:keepLines w:val="0"/>
        <w:widowControl/>
        <w:suppressLineNumbers w:val="0"/>
        <w:ind w:left="420" w:hanging="420" w:hanging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2、承包人至少应提供以下文件设备的主要特点介绍及有关的电气图纸、型式试验报告； 产品鉴定证书及国家认可的型号证书；设备主要材料清单及相关技术资料/介绍；配套设备的相关技术资料、介绍及制造厂家介绍；设备的产品介绍及安装、操作指南主要元器件、材料的制造厂家/产地及相关技术资料 </w:t>
      </w:r>
    </w:p>
    <w:p>
      <w:pPr>
        <w:keepNext w:val="0"/>
        <w:keepLines w:val="0"/>
        <w:widowControl/>
        <w:suppressLineNumbers w:val="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3、承包人中标后供货时须提供以下文件： </w:t>
      </w:r>
    </w:p>
    <w:p>
      <w:pPr>
        <w:keepNext w:val="0"/>
        <w:keepLines w:val="0"/>
        <w:widowControl/>
        <w:suppressLineNumbers w:val="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（1）装箱清单 </w:t>
      </w:r>
    </w:p>
    <w:p>
      <w:pPr>
        <w:keepNext w:val="0"/>
        <w:keepLines w:val="0"/>
        <w:widowControl/>
        <w:suppressLineNumbers w:val="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（2）设备合格证 </w:t>
      </w:r>
    </w:p>
    <w:p>
      <w:pPr>
        <w:keepNext w:val="0"/>
        <w:keepLines w:val="0"/>
        <w:widowControl/>
        <w:suppressLineNumbers w:val="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（3）设备使用说明书 </w:t>
      </w:r>
    </w:p>
    <w:p>
      <w:pPr>
        <w:keepNext w:val="0"/>
        <w:keepLines w:val="0"/>
        <w:widowControl/>
        <w:suppressLineNumbers w:val="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（4）出厂试验报告 </w:t>
      </w:r>
    </w:p>
    <w:p>
      <w:pPr>
        <w:keepNext w:val="0"/>
        <w:keepLines w:val="0"/>
        <w:widowControl/>
        <w:suppressLineNumbers w:val="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（5）有关电气图纸 </w:t>
      </w:r>
    </w:p>
    <w:p>
      <w:pPr>
        <w:keepNext w:val="0"/>
        <w:keepLines w:val="0"/>
        <w:widowControl/>
        <w:suppressLineNumbers w:val="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（6）柜门钥匙、操作手柄及合同规定的备品配件 </w:t>
      </w:r>
    </w:p>
    <w:p>
      <w:pPr>
        <w:keepNext w:val="0"/>
        <w:keepLines w:val="0"/>
        <w:widowControl/>
        <w:suppressLineNumbers w:val="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 xml:space="preserve">（7）主要元器件的出厂合格证、检验报告 </w:t>
      </w:r>
    </w:p>
    <w:p>
      <w:pPr>
        <w:keepNext w:val="0"/>
        <w:keepLines w:val="0"/>
        <w:widowControl/>
        <w:suppressLineNumbers w:val="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（8）主要元器件的安装使用说明书</w:t>
      </w:r>
    </w:p>
    <w:p>
      <w:pPr>
        <w:rPr>
          <w:rFonts w:ascii="宋体" w:hAnsi="宋体"/>
          <w:b/>
          <w:bCs/>
          <w:sz w:val="30"/>
          <w:szCs w:val="30"/>
        </w:rPr>
      </w:pPr>
      <w:r>
        <w:rPr>
          <w:rFonts w:hint="eastAsia" w:ascii="宋体" w:hAnsi="宋体" w:cs="宋体"/>
          <w:b/>
          <w:bCs/>
          <w:sz w:val="30"/>
          <w:szCs w:val="30"/>
        </w:rPr>
        <w:t>第四部分招标附件</w:t>
      </w:r>
      <w:bookmarkEnd w:id="194"/>
      <w:bookmarkEnd w:id="195"/>
      <w:bookmarkEnd w:id="196"/>
      <w:bookmarkEnd w:id="197"/>
      <w:bookmarkEnd w:id="198"/>
      <w:bookmarkEnd w:id="199"/>
    </w:p>
    <w:p>
      <w:pPr>
        <w:spacing w:line="360" w:lineRule="auto"/>
        <w:ind w:firstLine="422" w:firstLineChars="200"/>
        <w:rPr>
          <w:rFonts w:ascii="宋体" w:cs="宋体"/>
          <w:b/>
          <w:bCs/>
        </w:rPr>
      </w:pPr>
      <w:r>
        <w:rPr>
          <w:rFonts w:hint="eastAsia" w:ascii="宋体" w:cs="宋体"/>
          <w:b/>
          <w:bCs/>
        </w:rPr>
        <w:t>附件一：投标文件文本</w:t>
      </w:r>
    </w:p>
    <w:p>
      <w:pPr>
        <w:spacing w:line="360" w:lineRule="auto"/>
        <w:ind w:firstLine="422" w:firstLineChars="200"/>
        <w:rPr>
          <w:rFonts w:ascii="宋体" w:cs="宋体"/>
          <w:b/>
          <w:bCs/>
        </w:rPr>
      </w:pPr>
      <w:r>
        <w:rPr>
          <w:rFonts w:hint="eastAsia" w:ascii="宋体" w:cs="宋体"/>
          <w:b/>
          <w:bCs/>
        </w:rPr>
        <w:t>附件二：采购清单</w:t>
      </w:r>
    </w:p>
    <w:p>
      <w:pPr>
        <w:pStyle w:val="12"/>
        <w:spacing w:line="360" w:lineRule="exact"/>
        <w:ind w:left="0" w:leftChars="0"/>
        <w:jc w:val="left"/>
        <w:outlineLvl w:val="0"/>
        <w:rPr>
          <w:rFonts w:ascii="宋体" w:hAnsi="宋体"/>
          <w:b/>
          <w:bCs/>
          <w:sz w:val="30"/>
          <w:szCs w:val="30"/>
        </w:rPr>
      </w:pPr>
      <w:bookmarkStart w:id="200" w:name="_Toc24528"/>
      <w:bookmarkStart w:id="201" w:name="_Toc18223"/>
      <w:bookmarkStart w:id="202" w:name="_Toc1442"/>
      <w:bookmarkStart w:id="203" w:name="_Toc21852"/>
      <w:bookmarkStart w:id="204" w:name="_Toc5388"/>
      <w:bookmarkStart w:id="205" w:name="_Toc28851"/>
      <w:r>
        <w:rPr>
          <w:rFonts w:hint="eastAsia" w:ascii="宋体" w:hAnsi="宋体" w:cs="宋体"/>
          <w:b/>
          <w:bCs/>
          <w:sz w:val="30"/>
          <w:szCs w:val="30"/>
        </w:rPr>
        <w:t>第五部分投标书组成及附件格式</w:t>
      </w:r>
      <w:bookmarkEnd w:id="200"/>
      <w:bookmarkEnd w:id="201"/>
      <w:bookmarkEnd w:id="202"/>
      <w:bookmarkEnd w:id="203"/>
      <w:bookmarkEnd w:id="204"/>
      <w:bookmarkEnd w:id="205"/>
    </w:p>
    <w:p>
      <w:pPr>
        <w:spacing w:line="440" w:lineRule="exact"/>
        <w:ind w:firstLine="482" w:firstLineChars="200"/>
        <w:rPr>
          <w:rFonts w:ascii="宋体" w:hAnsi="宋体"/>
          <w:b/>
          <w:sz w:val="24"/>
        </w:rPr>
      </w:pPr>
      <w:r>
        <w:rPr>
          <w:rFonts w:hint="eastAsia" w:ascii="宋体" w:hAnsi="宋体"/>
          <w:b/>
          <w:sz w:val="24"/>
        </w:rPr>
        <w:t>投标文件的组成</w:t>
      </w:r>
    </w:p>
    <w:p>
      <w:pPr>
        <w:spacing w:line="440" w:lineRule="exact"/>
        <w:ind w:left="359" w:leftChars="171" w:firstLine="480" w:firstLineChars="200"/>
        <w:rPr>
          <w:rFonts w:ascii="宋体" w:hAnsi="宋体"/>
          <w:sz w:val="24"/>
        </w:rPr>
      </w:pPr>
      <w:r>
        <w:rPr>
          <w:rFonts w:hint="eastAsia" w:ascii="宋体" w:hAnsi="宋体"/>
          <w:sz w:val="24"/>
        </w:rPr>
        <w:t>1、企业资质；</w:t>
      </w:r>
    </w:p>
    <w:p>
      <w:pPr>
        <w:spacing w:line="440" w:lineRule="exact"/>
        <w:ind w:left="359" w:leftChars="171" w:firstLine="480" w:firstLineChars="200"/>
        <w:rPr>
          <w:rFonts w:ascii="宋体" w:hAnsi="宋体"/>
          <w:sz w:val="24"/>
        </w:rPr>
      </w:pPr>
      <w:r>
        <w:rPr>
          <w:rFonts w:hint="eastAsia" w:ascii="宋体" w:hAnsi="宋体"/>
          <w:sz w:val="24"/>
        </w:rPr>
        <w:t>2、企业基本情况；</w:t>
      </w:r>
    </w:p>
    <w:p>
      <w:pPr>
        <w:spacing w:line="440" w:lineRule="exact"/>
        <w:ind w:left="359" w:leftChars="171" w:firstLine="480" w:firstLineChars="200"/>
        <w:rPr>
          <w:rFonts w:ascii="宋体" w:hAnsi="宋体"/>
          <w:sz w:val="24"/>
        </w:rPr>
      </w:pPr>
      <w:r>
        <w:rPr>
          <w:rFonts w:hint="eastAsia" w:ascii="宋体" w:hAnsi="宋体"/>
          <w:sz w:val="24"/>
        </w:rPr>
        <w:t>3、法定代表人身份证明；</w:t>
      </w:r>
    </w:p>
    <w:p>
      <w:pPr>
        <w:spacing w:line="440" w:lineRule="exact"/>
        <w:ind w:left="359" w:leftChars="171" w:firstLine="480" w:firstLineChars="200"/>
        <w:rPr>
          <w:rFonts w:ascii="宋体" w:hAnsi="宋体"/>
          <w:sz w:val="24"/>
        </w:rPr>
      </w:pPr>
      <w:r>
        <w:rPr>
          <w:rFonts w:hint="eastAsia" w:ascii="宋体" w:hAnsi="宋体"/>
          <w:sz w:val="24"/>
        </w:rPr>
        <w:t>4、法定代表人授权书;</w:t>
      </w:r>
    </w:p>
    <w:p>
      <w:pPr>
        <w:spacing w:line="440" w:lineRule="exact"/>
        <w:ind w:left="359" w:leftChars="171" w:firstLine="480" w:firstLineChars="200"/>
        <w:rPr>
          <w:rFonts w:ascii="宋体" w:hAnsi="宋体"/>
          <w:sz w:val="24"/>
        </w:rPr>
      </w:pPr>
      <w:r>
        <w:rPr>
          <w:rFonts w:hint="eastAsia" w:ascii="宋体" w:hAnsi="宋体"/>
          <w:sz w:val="24"/>
        </w:rPr>
        <w:t>5、投标承诺书</w:t>
      </w:r>
    </w:p>
    <w:p>
      <w:pPr>
        <w:spacing w:line="440" w:lineRule="exact"/>
        <w:ind w:left="359" w:leftChars="171" w:firstLine="480" w:firstLineChars="200"/>
        <w:rPr>
          <w:rFonts w:ascii="宋体" w:hAnsi="宋体"/>
          <w:sz w:val="24"/>
        </w:rPr>
      </w:pPr>
      <w:r>
        <w:rPr>
          <w:rFonts w:hint="eastAsia" w:ascii="宋体" w:hAnsi="宋体"/>
          <w:sz w:val="24"/>
        </w:rPr>
        <w:t>6、投标保证金(如有提供）;</w:t>
      </w:r>
    </w:p>
    <w:p>
      <w:pPr>
        <w:spacing w:line="440" w:lineRule="exact"/>
        <w:ind w:left="359" w:leftChars="171" w:firstLine="480" w:firstLineChars="200"/>
        <w:rPr>
          <w:rFonts w:ascii="宋体" w:hAnsi="宋体"/>
          <w:sz w:val="24"/>
        </w:rPr>
      </w:pPr>
      <w:r>
        <w:rPr>
          <w:rFonts w:hint="eastAsia" w:ascii="宋体" w:hAnsi="宋体"/>
          <w:sz w:val="24"/>
        </w:rPr>
        <w:t>7、报价清单格式;</w:t>
      </w:r>
    </w:p>
    <w:p>
      <w:pPr>
        <w:spacing w:line="440" w:lineRule="exact"/>
        <w:ind w:left="359" w:leftChars="171" w:firstLine="480" w:firstLineChars="200"/>
        <w:rPr>
          <w:rFonts w:ascii="宋体" w:hAnsi="宋体"/>
          <w:sz w:val="24"/>
        </w:rPr>
      </w:pPr>
      <w:r>
        <w:rPr>
          <w:rFonts w:hint="eastAsia" w:ascii="宋体" w:hAnsi="宋体"/>
          <w:sz w:val="24"/>
        </w:rPr>
        <w:t>8、技术文件</w:t>
      </w:r>
    </w:p>
    <w:p>
      <w:pPr>
        <w:spacing w:line="440" w:lineRule="exact"/>
        <w:ind w:left="359" w:leftChars="171" w:firstLine="480" w:firstLineChars="200"/>
        <w:rPr>
          <w:rFonts w:ascii="宋体" w:hAnsi="宋体"/>
          <w:sz w:val="24"/>
        </w:rPr>
      </w:pPr>
      <w:r>
        <w:rPr>
          <w:rFonts w:hint="eastAsia" w:ascii="宋体" w:hAnsi="宋体"/>
          <w:sz w:val="24"/>
        </w:rPr>
        <w:t>8.1投标人对招标文件条款提出的不同意见（如有时）</w:t>
      </w:r>
    </w:p>
    <w:p>
      <w:pPr>
        <w:spacing w:line="440" w:lineRule="exact"/>
        <w:ind w:left="359" w:leftChars="171" w:firstLine="480" w:firstLineChars="200"/>
        <w:rPr>
          <w:rFonts w:ascii="宋体" w:hAnsi="宋体"/>
          <w:sz w:val="24"/>
        </w:rPr>
      </w:pPr>
      <w:r>
        <w:rPr>
          <w:rFonts w:hint="eastAsia" w:ascii="宋体" w:hAnsi="宋体"/>
          <w:sz w:val="24"/>
        </w:rPr>
        <w:t>8.2国家产品认证证书（满足本项目要求）和其它投标人认为有必要提供的认证及资格证明文件；</w:t>
      </w:r>
    </w:p>
    <w:p>
      <w:pPr>
        <w:spacing w:line="440" w:lineRule="exact"/>
        <w:ind w:left="359" w:leftChars="171" w:firstLine="480" w:firstLineChars="200"/>
        <w:rPr>
          <w:rFonts w:ascii="宋体" w:hAnsi="宋体"/>
          <w:sz w:val="24"/>
        </w:rPr>
      </w:pPr>
      <w:r>
        <w:rPr>
          <w:rFonts w:hint="eastAsia" w:ascii="宋体" w:hAnsi="宋体"/>
          <w:sz w:val="24"/>
        </w:rPr>
        <w:t>8.3本次投标产品主要技术说明；（包括但不限于以下内容：依据标准、产品使用条件、采用材质标准及技术处理、主要技术标准、出厂检测标准）</w:t>
      </w:r>
    </w:p>
    <w:p>
      <w:pPr>
        <w:spacing w:line="440" w:lineRule="exact"/>
        <w:ind w:left="359" w:leftChars="171" w:firstLine="480" w:firstLineChars="200"/>
        <w:rPr>
          <w:rFonts w:ascii="宋体" w:hAnsi="宋体"/>
          <w:sz w:val="24"/>
        </w:rPr>
      </w:pPr>
      <w:r>
        <w:rPr>
          <w:rFonts w:hint="eastAsia" w:ascii="宋体" w:hAnsi="宋体"/>
          <w:sz w:val="24"/>
        </w:rPr>
        <w:t>8.4主要工程业绩；</w:t>
      </w:r>
    </w:p>
    <w:p>
      <w:pPr>
        <w:spacing w:line="440" w:lineRule="exact"/>
        <w:ind w:left="359" w:leftChars="171" w:firstLine="480" w:firstLineChars="200"/>
        <w:rPr>
          <w:rFonts w:ascii="宋体" w:hAnsi="宋体"/>
          <w:sz w:val="24"/>
        </w:rPr>
      </w:pPr>
      <w:r>
        <w:rPr>
          <w:rFonts w:hint="eastAsia" w:ascii="宋体" w:hAnsi="宋体"/>
          <w:sz w:val="24"/>
        </w:rPr>
        <w:t>8.5投标货物设备材料品牌表</w:t>
      </w:r>
    </w:p>
    <w:p>
      <w:pPr>
        <w:spacing w:line="440" w:lineRule="exact"/>
        <w:ind w:left="359" w:leftChars="171" w:firstLine="480" w:firstLineChars="200"/>
        <w:rPr>
          <w:rFonts w:ascii="宋体" w:hAnsi="宋体"/>
          <w:sz w:val="24"/>
        </w:rPr>
      </w:pPr>
      <w:r>
        <w:rPr>
          <w:rFonts w:hint="eastAsia" w:ascii="宋体" w:hAnsi="宋体"/>
          <w:sz w:val="24"/>
        </w:rPr>
        <w:t>8.6售后服务承诺；</w:t>
      </w:r>
    </w:p>
    <w:p>
      <w:pPr>
        <w:spacing w:line="440" w:lineRule="exact"/>
        <w:ind w:left="359" w:leftChars="171" w:firstLine="480" w:firstLineChars="200"/>
        <w:rPr>
          <w:rFonts w:ascii="宋体" w:hAnsi="宋体"/>
          <w:sz w:val="24"/>
        </w:rPr>
      </w:pPr>
      <w:r>
        <w:rPr>
          <w:rFonts w:hint="eastAsia" w:ascii="宋体" w:hAnsi="宋体"/>
          <w:sz w:val="24"/>
        </w:rPr>
        <w:t>8.7投标人认为有必要提供的资料.</w:t>
      </w:r>
    </w:p>
    <w:p>
      <w:pPr>
        <w:spacing w:before="312" w:beforeLines="100" w:after="156" w:afterLines="50" w:line="360" w:lineRule="auto"/>
        <w:outlineLvl w:val="0"/>
        <w:rPr>
          <w:rFonts w:ascii="方正细圆简体" w:hAnsi="宋体" w:eastAsia="方正细圆简体" w:cs="方正细圆简体"/>
        </w:rPr>
        <w:sectPr>
          <w:footerReference r:id="rId9" w:type="default"/>
          <w:pgSz w:w="11906" w:h="16838"/>
          <w:pgMar w:top="1440" w:right="1123" w:bottom="1440" w:left="1123" w:header="851" w:footer="992" w:gutter="0"/>
          <w:cols w:space="720" w:num="1"/>
          <w:docGrid w:type="lines" w:linePitch="312" w:charSpace="0"/>
        </w:sectPr>
      </w:pPr>
    </w:p>
    <w:p>
      <w:pPr>
        <w:spacing w:line="240" w:lineRule="atLeast"/>
        <w:ind w:firstLine="422" w:firstLineChars="200"/>
        <w:rPr>
          <w:rFonts w:ascii="宋体" w:cs="宋体"/>
          <w:b/>
          <w:bCs/>
        </w:rPr>
      </w:pPr>
      <w:bookmarkStart w:id="206" w:name="_Toc343692948"/>
      <w:r>
        <w:rPr>
          <w:rFonts w:hint="eastAsia" w:ascii="宋体" w:cs="宋体"/>
          <w:b/>
          <w:bCs/>
        </w:rPr>
        <w:t>附件一：</w:t>
      </w:r>
    </w:p>
    <w:p>
      <w:pPr>
        <w:jc w:val="center"/>
        <w:rPr>
          <w:rFonts w:ascii="宋体" w:hAnsi="宋体" w:cs="宋体"/>
          <w:b/>
          <w:bCs/>
          <w:sz w:val="52"/>
          <w:szCs w:val="52"/>
        </w:rPr>
      </w:pPr>
      <w:r>
        <w:rPr>
          <w:rFonts w:hint="eastAsia" w:ascii="宋体" w:hAnsi="宋体" w:cs="宋体"/>
          <w:b/>
          <w:bCs/>
          <w:sz w:val="52"/>
          <w:szCs w:val="52"/>
        </w:rPr>
        <w:t>融悦大厦北区施工总承包工程</w:t>
      </w:r>
    </w:p>
    <w:p>
      <w:pPr>
        <w:ind w:firstLine="3132" w:firstLineChars="600"/>
        <w:rPr>
          <w:rFonts w:ascii="宋体" w:hAnsi="宋体" w:cs="宋体"/>
          <w:b/>
          <w:bCs/>
          <w:sz w:val="52"/>
          <w:szCs w:val="52"/>
        </w:rPr>
      </w:pPr>
      <w:r>
        <w:rPr>
          <w:rFonts w:hint="eastAsia" w:ascii="宋体" w:hAnsi="宋体" w:cs="宋体"/>
          <w:b/>
          <w:bCs/>
          <w:sz w:val="52"/>
          <w:szCs w:val="52"/>
          <w:lang w:eastAsia="zh-CN"/>
        </w:rPr>
        <w:t>变压器</w:t>
      </w:r>
      <w:r>
        <w:rPr>
          <w:rFonts w:hint="eastAsia" w:ascii="宋体" w:hAnsi="宋体" w:cs="宋体"/>
          <w:b/>
          <w:bCs/>
          <w:sz w:val="52"/>
          <w:szCs w:val="52"/>
        </w:rPr>
        <w:t>采购</w:t>
      </w:r>
    </w:p>
    <w:p>
      <w:pPr>
        <w:spacing w:line="360" w:lineRule="auto"/>
        <w:ind w:firstLine="1044" w:firstLineChars="200"/>
        <w:jc w:val="center"/>
        <w:rPr>
          <w:rFonts w:ascii="宋体" w:hAnsi="宋体" w:cs="宋体"/>
          <w:b/>
          <w:bCs/>
          <w:sz w:val="52"/>
          <w:szCs w:val="52"/>
        </w:rPr>
      </w:pPr>
    </w:p>
    <w:p>
      <w:pPr>
        <w:spacing w:line="360" w:lineRule="auto"/>
        <w:ind w:firstLine="1044" w:firstLineChars="200"/>
        <w:jc w:val="center"/>
        <w:rPr>
          <w:rFonts w:ascii="宋体" w:hAnsi="宋体" w:cs="宋体"/>
          <w:b/>
          <w:bCs/>
          <w:sz w:val="52"/>
          <w:szCs w:val="52"/>
        </w:rPr>
      </w:pPr>
      <w:r>
        <w:rPr>
          <w:rFonts w:hint="eastAsia" w:ascii="宋体" w:hAnsi="宋体" w:cs="宋体"/>
          <w:b/>
          <w:bCs/>
          <w:sz w:val="52"/>
          <w:szCs w:val="52"/>
        </w:rPr>
        <w:t>投</w:t>
      </w:r>
    </w:p>
    <w:p>
      <w:pPr>
        <w:spacing w:line="360" w:lineRule="auto"/>
        <w:ind w:firstLine="1044" w:firstLineChars="200"/>
        <w:jc w:val="center"/>
        <w:rPr>
          <w:rFonts w:ascii="宋体" w:hAnsi="宋体" w:cs="宋体"/>
          <w:b/>
          <w:bCs/>
          <w:sz w:val="52"/>
          <w:szCs w:val="52"/>
        </w:rPr>
      </w:pPr>
    </w:p>
    <w:p>
      <w:pPr>
        <w:spacing w:line="360" w:lineRule="auto"/>
        <w:ind w:firstLine="1044" w:firstLineChars="200"/>
        <w:jc w:val="center"/>
        <w:rPr>
          <w:rFonts w:ascii="宋体" w:hAnsi="宋体" w:cs="宋体"/>
          <w:b/>
          <w:bCs/>
          <w:sz w:val="52"/>
          <w:szCs w:val="52"/>
        </w:rPr>
      </w:pPr>
      <w:r>
        <w:rPr>
          <w:rFonts w:hint="eastAsia" w:ascii="宋体" w:hAnsi="宋体" w:cs="宋体"/>
          <w:b/>
          <w:bCs/>
          <w:sz w:val="52"/>
          <w:szCs w:val="52"/>
        </w:rPr>
        <w:t>标</w:t>
      </w:r>
    </w:p>
    <w:p>
      <w:pPr>
        <w:spacing w:line="360" w:lineRule="auto"/>
        <w:ind w:firstLine="1044" w:firstLineChars="200"/>
        <w:jc w:val="center"/>
        <w:rPr>
          <w:rFonts w:ascii="宋体" w:hAnsi="宋体" w:cs="宋体"/>
          <w:b/>
          <w:bCs/>
          <w:sz w:val="52"/>
          <w:szCs w:val="52"/>
        </w:rPr>
      </w:pPr>
    </w:p>
    <w:p>
      <w:pPr>
        <w:spacing w:line="360" w:lineRule="auto"/>
        <w:ind w:firstLine="1044" w:firstLineChars="200"/>
        <w:jc w:val="center"/>
        <w:rPr>
          <w:rFonts w:ascii="宋体" w:hAnsi="宋体" w:cs="宋体"/>
          <w:b/>
          <w:bCs/>
          <w:sz w:val="52"/>
          <w:szCs w:val="52"/>
        </w:rPr>
      </w:pPr>
      <w:r>
        <w:rPr>
          <w:rFonts w:hint="eastAsia" w:ascii="宋体" w:hAnsi="宋体" w:cs="宋体"/>
          <w:b/>
          <w:bCs/>
          <w:sz w:val="52"/>
          <w:szCs w:val="52"/>
        </w:rPr>
        <w:t>文</w:t>
      </w:r>
    </w:p>
    <w:p>
      <w:pPr>
        <w:spacing w:line="360" w:lineRule="auto"/>
        <w:ind w:firstLine="1044" w:firstLineChars="200"/>
        <w:jc w:val="center"/>
        <w:rPr>
          <w:rFonts w:ascii="宋体" w:hAnsi="宋体" w:cs="宋体"/>
          <w:b/>
          <w:bCs/>
          <w:sz w:val="52"/>
          <w:szCs w:val="52"/>
        </w:rPr>
      </w:pPr>
    </w:p>
    <w:p>
      <w:pPr>
        <w:spacing w:line="360" w:lineRule="auto"/>
        <w:ind w:firstLine="1044" w:firstLineChars="200"/>
        <w:jc w:val="center"/>
        <w:rPr>
          <w:rFonts w:ascii="宋体" w:hAnsi="宋体" w:cs="宋体"/>
          <w:b/>
          <w:bCs/>
          <w:sz w:val="52"/>
          <w:szCs w:val="52"/>
        </w:rPr>
      </w:pPr>
      <w:r>
        <w:rPr>
          <w:rFonts w:hint="eastAsia" w:ascii="宋体" w:hAnsi="宋体" w:cs="宋体"/>
          <w:b/>
          <w:bCs/>
          <w:sz w:val="52"/>
          <w:szCs w:val="52"/>
        </w:rPr>
        <w:t>件</w:t>
      </w:r>
    </w:p>
    <w:p>
      <w:pPr>
        <w:spacing w:line="360" w:lineRule="auto"/>
        <w:ind w:firstLine="1044" w:firstLineChars="200"/>
        <w:jc w:val="center"/>
        <w:rPr>
          <w:rFonts w:ascii="宋体" w:hAnsi="宋体" w:cs="宋体"/>
          <w:b/>
          <w:bCs/>
          <w:sz w:val="52"/>
          <w:szCs w:val="52"/>
        </w:rPr>
      </w:pPr>
    </w:p>
    <w:p>
      <w:pPr>
        <w:spacing w:line="360" w:lineRule="auto"/>
        <w:ind w:firstLine="1044" w:firstLineChars="200"/>
        <w:jc w:val="center"/>
        <w:rPr>
          <w:rFonts w:ascii="宋体" w:hAnsi="宋体" w:cs="宋体"/>
          <w:b/>
          <w:bCs/>
          <w:sz w:val="52"/>
          <w:szCs w:val="52"/>
        </w:rPr>
      </w:pPr>
    </w:p>
    <w:p>
      <w:pPr>
        <w:spacing w:line="360" w:lineRule="auto"/>
        <w:rPr>
          <w:rFonts w:ascii="仿宋_GB2312" w:eastAsia="仿宋_GB2312" w:cs="仿宋_GB2312"/>
          <w:b/>
          <w:bCs/>
          <w:color w:val="000000"/>
          <w:sz w:val="30"/>
          <w:szCs w:val="30"/>
        </w:rPr>
      </w:pPr>
      <w:r>
        <w:rPr>
          <w:rFonts w:hint="eastAsia" w:ascii="仿宋_GB2312" w:eastAsia="仿宋_GB2312" w:cs="仿宋_GB2312"/>
          <w:b/>
          <w:bCs/>
          <w:color w:val="000000"/>
          <w:sz w:val="30"/>
          <w:szCs w:val="30"/>
        </w:rPr>
        <w:t>招标单位：中国建筑一局（集团）有限公司</w:t>
      </w:r>
    </w:p>
    <w:p>
      <w:pPr>
        <w:spacing w:line="360" w:lineRule="auto"/>
        <w:ind w:firstLine="602" w:firstLineChars="200"/>
        <w:rPr>
          <w:rFonts w:ascii="仿宋_GB2312" w:eastAsia="仿宋_GB2312" w:cs="仿宋_GB2312"/>
          <w:b/>
          <w:bCs/>
          <w:sz w:val="30"/>
          <w:szCs w:val="30"/>
        </w:rPr>
        <w:sectPr>
          <w:footerReference r:id="rId10" w:type="default"/>
          <w:pgSz w:w="11906" w:h="16838"/>
          <w:pgMar w:top="1440" w:right="1123" w:bottom="1440" w:left="1123" w:header="851" w:footer="992" w:gutter="0"/>
          <w:cols w:space="720" w:num="1"/>
          <w:docGrid w:type="lines" w:linePitch="312" w:charSpace="0"/>
        </w:sectPr>
      </w:pPr>
      <w:r>
        <w:rPr>
          <w:rFonts w:hint="eastAsia" w:ascii="仿宋_GB2312" w:eastAsia="仿宋_GB2312" w:cs="仿宋_GB2312"/>
          <w:b/>
          <w:bCs/>
          <w:color w:val="000000"/>
          <w:sz w:val="30"/>
          <w:szCs w:val="30"/>
        </w:rPr>
        <w:t>日期：</w:t>
      </w:r>
      <w:r>
        <w:rPr>
          <w:rFonts w:hint="eastAsia" w:ascii="仿宋_GB2312" w:eastAsia="仿宋_GB2312" w:cs="仿宋_GB2312"/>
          <w:b/>
          <w:bCs/>
          <w:sz w:val="30"/>
          <w:szCs w:val="30"/>
        </w:rPr>
        <w:t xml:space="preserve"> 2020年</w:t>
      </w:r>
      <w:r>
        <w:rPr>
          <w:rFonts w:hint="eastAsia" w:ascii="仿宋_GB2312" w:eastAsia="仿宋_GB2312" w:cs="仿宋_GB2312"/>
          <w:b/>
          <w:bCs/>
          <w:sz w:val="30"/>
          <w:szCs w:val="30"/>
          <w:lang w:val="en-US" w:eastAsia="zh-CN"/>
        </w:rPr>
        <w:t>9</w:t>
      </w:r>
      <w:r>
        <w:rPr>
          <w:rFonts w:hint="eastAsia" w:ascii="仿宋_GB2312" w:eastAsia="仿宋_GB2312" w:cs="仿宋_GB2312"/>
          <w:b/>
          <w:bCs/>
          <w:sz w:val="30"/>
          <w:szCs w:val="30"/>
        </w:rPr>
        <w:t>月</w:t>
      </w:r>
    </w:p>
    <w:p>
      <w:pPr>
        <w:pStyle w:val="56"/>
        <w:numPr>
          <w:ilvl w:val="0"/>
          <w:numId w:val="5"/>
        </w:numPr>
        <w:ind w:left="1545" w:firstLine="602"/>
        <w:outlineLvl w:val="1"/>
        <w:rPr>
          <w:rFonts w:ascii="仿宋" w:hAnsi="仿宋" w:eastAsia="仿宋"/>
          <w:b/>
          <w:sz w:val="30"/>
          <w:szCs w:val="30"/>
        </w:rPr>
      </w:pPr>
      <w:bookmarkStart w:id="207" w:name="_Toc30998"/>
      <w:bookmarkStart w:id="208" w:name="_Toc16204"/>
      <w:bookmarkStart w:id="209" w:name="_Toc28331"/>
      <w:bookmarkStart w:id="210" w:name="_Toc5569"/>
      <w:bookmarkStart w:id="211" w:name="_Toc31289"/>
      <w:bookmarkStart w:id="212" w:name="_Toc28546"/>
      <w:bookmarkStart w:id="213" w:name="_Toc8772"/>
      <w:r>
        <w:rPr>
          <w:rFonts w:hint="eastAsia" w:ascii="仿宋" w:hAnsi="仿宋" w:eastAsia="仿宋"/>
          <w:b/>
          <w:sz w:val="30"/>
          <w:szCs w:val="30"/>
        </w:rPr>
        <w:t>企业资质</w:t>
      </w:r>
      <w:bookmarkEnd w:id="207"/>
      <w:bookmarkEnd w:id="208"/>
      <w:bookmarkEnd w:id="209"/>
      <w:bookmarkEnd w:id="210"/>
      <w:bookmarkEnd w:id="211"/>
      <w:bookmarkEnd w:id="212"/>
      <w:bookmarkEnd w:id="213"/>
    </w:p>
    <w:bookmarkEnd w:id="206"/>
    <w:tbl>
      <w:tblPr>
        <w:tblStyle w:val="24"/>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4297"/>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384" w:type="dxa"/>
          </w:tcPr>
          <w:p>
            <w:pPr>
              <w:tabs>
                <w:tab w:val="left" w:pos="567"/>
              </w:tabs>
              <w:spacing w:line="500" w:lineRule="exact"/>
              <w:rPr>
                <w:rFonts w:ascii="仿宋" w:hAnsi="仿宋" w:eastAsia="仿宋" w:cs="楷体_GB2312"/>
                <w:bCs/>
              </w:rPr>
            </w:pPr>
            <w:r>
              <w:rPr>
                <w:rFonts w:hint="eastAsia" w:ascii="仿宋" w:hAnsi="仿宋" w:eastAsia="仿宋" w:cs="楷体_GB2312"/>
                <w:bCs/>
              </w:rPr>
              <w:t>装订顺序</w:t>
            </w:r>
          </w:p>
        </w:tc>
        <w:tc>
          <w:tcPr>
            <w:tcW w:w="4297"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资料名称</w:t>
            </w:r>
          </w:p>
        </w:tc>
        <w:tc>
          <w:tcPr>
            <w:tcW w:w="2841"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1</w:t>
            </w:r>
          </w:p>
        </w:tc>
        <w:tc>
          <w:tcPr>
            <w:tcW w:w="4297" w:type="dxa"/>
          </w:tcPr>
          <w:p>
            <w:pPr>
              <w:tabs>
                <w:tab w:val="left" w:pos="567"/>
              </w:tabs>
              <w:spacing w:line="500" w:lineRule="exact"/>
              <w:jc w:val="left"/>
              <w:rPr>
                <w:rFonts w:ascii="仿宋" w:hAnsi="仿宋" w:eastAsia="仿宋" w:cs="楷体_GB2312"/>
                <w:bCs/>
              </w:rPr>
            </w:pPr>
            <w:r>
              <w:rPr>
                <w:rFonts w:hint="eastAsia" w:ascii="仿宋" w:hAnsi="仿宋" w:eastAsia="仿宋" w:cs="楷体_GB2312"/>
                <w:bCs/>
              </w:rPr>
              <w:t>制造商的营业执照副本</w:t>
            </w:r>
          </w:p>
        </w:tc>
        <w:tc>
          <w:tcPr>
            <w:tcW w:w="2841"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2</w:t>
            </w:r>
          </w:p>
        </w:tc>
        <w:tc>
          <w:tcPr>
            <w:tcW w:w="4297" w:type="dxa"/>
          </w:tcPr>
          <w:p>
            <w:pPr>
              <w:tabs>
                <w:tab w:val="left" w:pos="567"/>
              </w:tabs>
              <w:spacing w:line="500" w:lineRule="exact"/>
              <w:jc w:val="left"/>
              <w:rPr>
                <w:rFonts w:ascii="仿宋" w:hAnsi="仿宋" w:eastAsia="仿宋" w:cs="楷体_GB2312"/>
                <w:bCs/>
              </w:rPr>
            </w:pPr>
            <w:r>
              <w:rPr>
                <w:rFonts w:hint="eastAsia" w:ascii="仿宋" w:hAnsi="仿宋" w:eastAsia="仿宋" w:cs="楷体_GB2312"/>
                <w:bCs/>
              </w:rPr>
              <w:t>制造商的组织机构代码证</w:t>
            </w:r>
          </w:p>
        </w:tc>
        <w:tc>
          <w:tcPr>
            <w:tcW w:w="2841"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3</w:t>
            </w:r>
          </w:p>
        </w:tc>
        <w:tc>
          <w:tcPr>
            <w:tcW w:w="4297" w:type="dxa"/>
          </w:tcPr>
          <w:p>
            <w:pPr>
              <w:tabs>
                <w:tab w:val="left" w:pos="567"/>
              </w:tabs>
              <w:spacing w:line="500" w:lineRule="exact"/>
              <w:jc w:val="left"/>
              <w:rPr>
                <w:rFonts w:ascii="仿宋" w:hAnsi="仿宋" w:eastAsia="仿宋" w:cs="楷体_GB2312"/>
                <w:bCs/>
              </w:rPr>
            </w:pPr>
            <w:r>
              <w:rPr>
                <w:rFonts w:hint="eastAsia" w:ascii="仿宋" w:hAnsi="仿宋" w:eastAsia="仿宋" w:cs="楷体_GB2312"/>
                <w:bCs/>
              </w:rPr>
              <w:t>制造商的税务登记证</w:t>
            </w:r>
          </w:p>
        </w:tc>
        <w:tc>
          <w:tcPr>
            <w:tcW w:w="2841"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4</w:t>
            </w:r>
          </w:p>
        </w:tc>
        <w:tc>
          <w:tcPr>
            <w:tcW w:w="4297" w:type="dxa"/>
          </w:tcPr>
          <w:p>
            <w:pPr>
              <w:tabs>
                <w:tab w:val="left" w:pos="567"/>
              </w:tabs>
              <w:spacing w:line="500" w:lineRule="exact"/>
              <w:jc w:val="left"/>
              <w:rPr>
                <w:rFonts w:ascii="仿宋" w:hAnsi="仿宋" w:eastAsia="仿宋" w:cs="楷体_GB2312"/>
                <w:bCs/>
              </w:rPr>
            </w:pPr>
            <w:r>
              <w:rPr>
                <w:rFonts w:hint="eastAsia" w:ascii="仿宋" w:hAnsi="仿宋" w:eastAsia="仿宋" w:cs="楷体_GB2312"/>
                <w:bCs/>
              </w:rPr>
              <w:t>制造商的</w:t>
            </w:r>
            <w:r>
              <w:rPr>
                <w:rFonts w:ascii="仿宋" w:hAnsi="仿宋" w:eastAsia="仿宋" w:cs="楷体_GB2312"/>
                <w:bCs/>
              </w:rPr>
              <w:t>ISO9001</w:t>
            </w:r>
            <w:r>
              <w:rPr>
                <w:rFonts w:hint="eastAsia" w:ascii="仿宋" w:hAnsi="仿宋" w:eastAsia="仿宋" w:cs="楷体_GB2312"/>
                <w:bCs/>
              </w:rPr>
              <w:t>：</w:t>
            </w:r>
            <w:r>
              <w:rPr>
                <w:rFonts w:ascii="仿宋" w:hAnsi="仿宋" w:eastAsia="仿宋" w:cs="楷体_GB2312"/>
                <w:bCs/>
              </w:rPr>
              <w:t>2000</w:t>
            </w:r>
            <w:r>
              <w:rPr>
                <w:rFonts w:hint="eastAsia" w:ascii="仿宋" w:hAnsi="仿宋" w:eastAsia="仿宋" w:cs="楷体_GB2312"/>
                <w:bCs/>
              </w:rPr>
              <w:t>质量管理体系认证证书</w:t>
            </w:r>
          </w:p>
        </w:tc>
        <w:tc>
          <w:tcPr>
            <w:tcW w:w="2841"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384"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5</w:t>
            </w:r>
          </w:p>
        </w:tc>
        <w:tc>
          <w:tcPr>
            <w:tcW w:w="4297" w:type="dxa"/>
          </w:tcPr>
          <w:p>
            <w:pPr>
              <w:tabs>
                <w:tab w:val="left" w:pos="567"/>
              </w:tabs>
              <w:spacing w:line="500" w:lineRule="exact"/>
              <w:jc w:val="left"/>
              <w:rPr>
                <w:rFonts w:ascii="仿宋" w:hAnsi="仿宋" w:eastAsia="仿宋" w:cs="楷体_GB2312"/>
                <w:bCs/>
              </w:rPr>
            </w:pPr>
            <w:r>
              <w:rPr>
                <w:rFonts w:hint="eastAsia" w:ascii="仿宋" w:hAnsi="仿宋" w:eastAsia="仿宋" w:cs="楷体_GB2312"/>
                <w:bCs/>
              </w:rPr>
              <w:t>制造商的</w:t>
            </w:r>
            <w:r>
              <w:rPr>
                <w:rFonts w:ascii="仿宋" w:hAnsi="仿宋" w:eastAsia="仿宋" w:cs="楷体_GB2312"/>
                <w:bCs/>
              </w:rPr>
              <w:t>ISO14001</w:t>
            </w:r>
            <w:r>
              <w:rPr>
                <w:rFonts w:hint="eastAsia" w:ascii="仿宋" w:hAnsi="仿宋" w:eastAsia="仿宋" w:cs="楷体_GB2312"/>
                <w:bCs/>
              </w:rPr>
              <w:t>环境管理体系认证证书</w:t>
            </w:r>
          </w:p>
        </w:tc>
        <w:tc>
          <w:tcPr>
            <w:tcW w:w="2841"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6</w:t>
            </w:r>
          </w:p>
        </w:tc>
        <w:tc>
          <w:tcPr>
            <w:tcW w:w="4297" w:type="dxa"/>
          </w:tcPr>
          <w:p>
            <w:pPr>
              <w:tabs>
                <w:tab w:val="left" w:pos="567"/>
              </w:tabs>
              <w:spacing w:line="500" w:lineRule="exact"/>
              <w:jc w:val="left"/>
              <w:rPr>
                <w:rFonts w:ascii="仿宋" w:hAnsi="仿宋" w:eastAsia="仿宋" w:cs="楷体_GB2312"/>
                <w:bCs/>
              </w:rPr>
            </w:pPr>
            <w:r>
              <w:rPr>
                <w:rFonts w:hint="eastAsia" w:ascii="仿宋" w:hAnsi="仿宋" w:eastAsia="仿宋" w:cs="楷体_GB2312"/>
                <w:bCs/>
              </w:rPr>
              <w:t>制造商的全国工业产品生产许可证</w:t>
            </w:r>
          </w:p>
        </w:tc>
        <w:tc>
          <w:tcPr>
            <w:tcW w:w="2841"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7</w:t>
            </w:r>
          </w:p>
        </w:tc>
        <w:tc>
          <w:tcPr>
            <w:tcW w:w="4297" w:type="dxa"/>
          </w:tcPr>
          <w:p>
            <w:pPr>
              <w:tabs>
                <w:tab w:val="left" w:pos="567"/>
              </w:tabs>
              <w:spacing w:line="500" w:lineRule="exact"/>
              <w:jc w:val="left"/>
              <w:rPr>
                <w:rFonts w:ascii="仿宋" w:hAnsi="仿宋" w:eastAsia="仿宋" w:cs="楷体_GB2312"/>
                <w:bCs/>
              </w:rPr>
            </w:pPr>
            <w:r>
              <w:rPr>
                <w:rFonts w:hint="eastAsia" w:ascii="仿宋" w:hAnsi="仿宋" w:eastAsia="仿宋" w:cs="楷体_GB2312"/>
                <w:bCs/>
              </w:rPr>
              <w:t>代理商的营业执照副本</w:t>
            </w:r>
          </w:p>
        </w:tc>
        <w:tc>
          <w:tcPr>
            <w:tcW w:w="2841"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8</w:t>
            </w:r>
          </w:p>
        </w:tc>
        <w:tc>
          <w:tcPr>
            <w:tcW w:w="4297" w:type="dxa"/>
          </w:tcPr>
          <w:p>
            <w:pPr>
              <w:tabs>
                <w:tab w:val="left" w:pos="567"/>
              </w:tabs>
              <w:spacing w:line="500" w:lineRule="exact"/>
              <w:jc w:val="left"/>
              <w:rPr>
                <w:rFonts w:ascii="仿宋" w:hAnsi="仿宋" w:eastAsia="仿宋" w:cs="楷体_GB2312"/>
                <w:bCs/>
              </w:rPr>
            </w:pPr>
            <w:r>
              <w:rPr>
                <w:rFonts w:hint="eastAsia" w:ascii="仿宋" w:hAnsi="仿宋" w:eastAsia="仿宋" w:cs="楷体_GB2312"/>
                <w:bCs/>
              </w:rPr>
              <w:t>代理商的组织机构代码证</w:t>
            </w:r>
          </w:p>
        </w:tc>
        <w:tc>
          <w:tcPr>
            <w:tcW w:w="2841"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9</w:t>
            </w:r>
          </w:p>
        </w:tc>
        <w:tc>
          <w:tcPr>
            <w:tcW w:w="4297" w:type="dxa"/>
          </w:tcPr>
          <w:p>
            <w:pPr>
              <w:tabs>
                <w:tab w:val="left" w:pos="567"/>
              </w:tabs>
              <w:spacing w:line="500" w:lineRule="exact"/>
              <w:jc w:val="left"/>
              <w:rPr>
                <w:rFonts w:ascii="仿宋" w:hAnsi="仿宋" w:eastAsia="仿宋" w:cs="楷体_GB2312"/>
                <w:bCs/>
              </w:rPr>
            </w:pPr>
            <w:r>
              <w:rPr>
                <w:rFonts w:hint="eastAsia" w:ascii="仿宋" w:hAnsi="仿宋" w:eastAsia="仿宋" w:cs="楷体_GB2312"/>
                <w:bCs/>
              </w:rPr>
              <w:t>代理商的税务登记证</w:t>
            </w:r>
          </w:p>
        </w:tc>
        <w:tc>
          <w:tcPr>
            <w:tcW w:w="2841"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10</w:t>
            </w:r>
          </w:p>
        </w:tc>
        <w:tc>
          <w:tcPr>
            <w:tcW w:w="4297" w:type="dxa"/>
          </w:tcPr>
          <w:p>
            <w:pPr>
              <w:tabs>
                <w:tab w:val="left" w:pos="567"/>
              </w:tabs>
              <w:spacing w:line="500" w:lineRule="exact"/>
              <w:jc w:val="left"/>
              <w:rPr>
                <w:rFonts w:ascii="仿宋" w:hAnsi="仿宋" w:eastAsia="仿宋" w:cs="楷体_GB2312"/>
                <w:bCs/>
              </w:rPr>
            </w:pPr>
            <w:r>
              <w:rPr>
                <w:rFonts w:hint="eastAsia" w:ascii="仿宋" w:hAnsi="仿宋" w:eastAsia="仿宋" w:cs="楷体_GB2312"/>
                <w:bCs/>
              </w:rPr>
              <w:t>代理商取得的专项代理授权书</w:t>
            </w:r>
          </w:p>
        </w:tc>
        <w:tc>
          <w:tcPr>
            <w:tcW w:w="2841"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11</w:t>
            </w:r>
          </w:p>
        </w:tc>
        <w:tc>
          <w:tcPr>
            <w:tcW w:w="4297" w:type="dxa"/>
          </w:tcPr>
          <w:p>
            <w:pPr>
              <w:tabs>
                <w:tab w:val="left" w:pos="567"/>
              </w:tabs>
              <w:spacing w:line="500" w:lineRule="exact"/>
              <w:jc w:val="left"/>
              <w:rPr>
                <w:rFonts w:ascii="仿宋" w:hAnsi="仿宋" w:eastAsia="仿宋" w:cs="楷体_GB2312"/>
                <w:bCs/>
              </w:rPr>
            </w:pPr>
            <w:r>
              <w:rPr>
                <w:rFonts w:hint="eastAsia" w:ascii="仿宋" w:hAnsi="仿宋" w:eastAsia="仿宋" w:cs="楷体_GB2312"/>
                <w:bCs/>
              </w:rPr>
              <w:t>近三个月委托代理人社保证明</w:t>
            </w:r>
          </w:p>
        </w:tc>
        <w:tc>
          <w:tcPr>
            <w:tcW w:w="2841"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12</w:t>
            </w:r>
          </w:p>
        </w:tc>
        <w:tc>
          <w:tcPr>
            <w:tcW w:w="4297" w:type="dxa"/>
          </w:tcPr>
          <w:p>
            <w:pPr>
              <w:tabs>
                <w:tab w:val="left" w:pos="567"/>
              </w:tabs>
              <w:spacing w:line="500" w:lineRule="exact"/>
              <w:rPr>
                <w:rFonts w:ascii="仿宋" w:hAnsi="仿宋" w:eastAsia="仿宋" w:cs="楷体_GB2312"/>
                <w:bCs/>
              </w:rPr>
            </w:pPr>
            <w:r>
              <w:rPr>
                <w:rFonts w:hint="eastAsia" w:ascii="仿宋" w:hAnsi="仿宋" w:eastAsia="仿宋" w:cs="楷体_GB2312"/>
                <w:bCs/>
              </w:rPr>
              <w:t>企业业绩及其他相关资料</w:t>
            </w:r>
          </w:p>
        </w:tc>
        <w:tc>
          <w:tcPr>
            <w:tcW w:w="2841" w:type="dxa"/>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3"/>
          </w:tcPr>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注：</w:t>
            </w:r>
          </w:p>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1.以上材料按中建集采网络交易平台中的相关要求同时上传至平台，为投标文件组成部分。</w:t>
            </w:r>
          </w:p>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2.资质文件中的企业名称、法定代表人姓名应与《法定代表人证明书》中的企业名称、法定代表人姓名保持一致，并为通过集中采购管理中心资格审查的供应商。</w:t>
            </w:r>
          </w:p>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3.所有资质文件应在规定的有效期内。</w:t>
            </w:r>
          </w:p>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4.报送资质文件为非中文的，应同时提供中文翻译件。</w:t>
            </w:r>
          </w:p>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5.资质文件（或复印件）必须清晰，不得涂改。原件备查。</w:t>
            </w:r>
          </w:p>
          <w:p>
            <w:pPr>
              <w:tabs>
                <w:tab w:val="left" w:pos="567"/>
              </w:tabs>
              <w:spacing w:line="500" w:lineRule="exact"/>
              <w:ind w:firstLine="420" w:firstLineChars="200"/>
              <w:rPr>
                <w:rFonts w:ascii="仿宋" w:hAnsi="仿宋" w:eastAsia="仿宋" w:cs="楷体_GB2312"/>
                <w:bCs/>
              </w:rPr>
            </w:pPr>
            <w:r>
              <w:rPr>
                <w:rFonts w:hint="eastAsia" w:ascii="仿宋" w:hAnsi="仿宋" w:eastAsia="仿宋" w:cs="楷体_GB2312"/>
                <w:bCs/>
              </w:rPr>
              <w:t>6上述资信资料必须真实可靠，提供复印件并加盖相应资料主体公章，其中</w:t>
            </w:r>
            <w:r>
              <w:rPr>
                <w:rFonts w:ascii="仿宋" w:hAnsi="仿宋" w:eastAsia="仿宋" w:cs="楷体_GB2312"/>
                <w:bCs/>
              </w:rPr>
              <w:t>1</w:t>
            </w:r>
            <w:r>
              <w:rPr>
                <w:rFonts w:hint="eastAsia" w:ascii="仿宋" w:hAnsi="仿宋" w:eastAsia="仿宋" w:cs="楷体_GB2312"/>
                <w:bCs/>
              </w:rPr>
              <w:t>～</w:t>
            </w:r>
            <w:r>
              <w:rPr>
                <w:rFonts w:ascii="仿宋" w:hAnsi="仿宋" w:eastAsia="仿宋" w:cs="楷体_GB2312"/>
                <w:bCs/>
              </w:rPr>
              <w:t>6</w:t>
            </w:r>
            <w:r>
              <w:rPr>
                <w:rFonts w:hint="eastAsia" w:ascii="仿宋" w:hAnsi="仿宋" w:eastAsia="仿宋" w:cs="楷体_GB2312"/>
                <w:bCs/>
              </w:rPr>
              <w:t>项必须提供，</w:t>
            </w:r>
            <w:r>
              <w:rPr>
                <w:rFonts w:ascii="仿宋" w:hAnsi="仿宋" w:eastAsia="仿宋" w:cs="楷体_GB2312"/>
                <w:bCs/>
              </w:rPr>
              <w:t>7</w:t>
            </w:r>
            <w:r>
              <w:rPr>
                <w:rFonts w:hint="eastAsia" w:ascii="仿宋" w:hAnsi="仿宋" w:eastAsia="仿宋" w:cs="楷体_GB2312"/>
                <w:bCs/>
              </w:rPr>
              <w:t>～1</w:t>
            </w:r>
            <w:r>
              <w:rPr>
                <w:rFonts w:ascii="仿宋" w:hAnsi="仿宋" w:eastAsia="仿宋" w:cs="楷体_GB2312"/>
                <w:bCs/>
              </w:rPr>
              <w:t>2</w:t>
            </w:r>
            <w:r>
              <w:rPr>
                <w:rFonts w:hint="eastAsia" w:ascii="仿宋" w:hAnsi="仿宋" w:eastAsia="仿宋" w:cs="楷体_GB2312"/>
                <w:bCs/>
              </w:rPr>
              <w:t>仅对报价单位为代理商时要求提供。</w:t>
            </w:r>
          </w:p>
        </w:tc>
      </w:tr>
    </w:tbl>
    <w:p>
      <w:pPr>
        <w:pStyle w:val="3"/>
        <w:numPr>
          <w:ilvl w:val="0"/>
          <w:numId w:val="5"/>
        </w:numPr>
        <w:ind w:firstLine="602" w:firstLineChars="200"/>
        <w:rPr>
          <w:rFonts w:ascii="仿宋" w:hAnsi="仿宋" w:eastAsia="仿宋"/>
          <w:sz w:val="30"/>
          <w:szCs w:val="30"/>
        </w:rPr>
      </w:pPr>
      <w:bookmarkStart w:id="214" w:name="_Toc12625"/>
      <w:bookmarkStart w:id="215" w:name="_Toc10103"/>
      <w:bookmarkStart w:id="216" w:name="_Toc17156"/>
      <w:bookmarkStart w:id="217" w:name="_Toc14682"/>
      <w:bookmarkStart w:id="218" w:name="_Toc343692949"/>
      <w:bookmarkStart w:id="219" w:name="_Toc15761"/>
      <w:bookmarkStart w:id="220" w:name="_Toc11509"/>
      <w:bookmarkStart w:id="221" w:name="_Toc32440"/>
      <w:r>
        <w:rPr>
          <w:rFonts w:hint="eastAsia" w:ascii="仿宋" w:hAnsi="仿宋" w:eastAsia="仿宋"/>
          <w:sz w:val="30"/>
          <w:szCs w:val="30"/>
        </w:rPr>
        <w:t>企业基本情况表</w:t>
      </w:r>
      <w:bookmarkEnd w:id="214"/>
      <w:bookmarkEnd w:id="215"/>
      <w:bookmarkEnd w:id="216"/>
      <w:bookmarkEnd w:id="217"/>
      <w:bookmarkEnd w:id="218"/>
      <w:bookmarkEnd w:id="219"/>
      <w:bookmarkEnd w:id="220"/>
      <w:bookmarkEnd w:id="221"/>
    </w:p>
    <w:tbl>
      <w:tblPr>
        <w:tblStyle w:val="24"/>
        <w:tblpPr w:leftFromText="180" w:rightFromText="180" w:vertAnchor="text" w:horzAnchor="margin" w:tblpXSpec="center" w:tblpY="1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232"/>
        <w:gridCol w:w="307"/>
        <w:gridCol w:w="794"/>
        <w:gridCol w:w="511"/>
        <w:gridCol w:w="312"/>
        <w:gridCol w:w="687"/>
        <w:gridCol w:w="464"/>
        <w:gridCol w:w="94"/>
        <w:gridCol w:w="60"/>
        <w:gridCol w:w="869"/>
        <w:gridCol w:w="211"/>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375" w:type="dxa"/>
            <w:vAlign w:val="center"/>
          </w:tcPr>
          <w:p>
            <w:pPr>
              <w:spacing w:line="480" w:lineRule="exact"/>
              <w:jc w:val="center"/>
              <w:rPr>
                <w:rFonts w:ascii="仿宋" w:hAnsi="仿宋" w:eastAsia="仿宋"/>
              </w:rPr>
            </w:pPr>
            <w:r>
              <w:rPr>
                <w:rFonts w:hint="eastAsia" w:ascii="仿宋" w:hAnsi="仿宋" w:eastAsia="仿宋"/>
              </w:rPr>
              <w:t>企业名称(盖章)</w:t>
            </w:r>
          </w:p>
        </w:tc>
        <w:tc>
          <w:tcPr>
            <w:tcW w:w="4307" w:type="dxa"/>
            <w:gridSpan w:val="7"/>
            <w:vAlign w:val="center"/>
          </w:tcPr>
          <w:p>
            <w:pPr>
              <w:spacing w:line="480" w:lineRule="exact"/>
              <w:jc w:val="center"/>
              <w:rPr>
                <w:rFonts w:ascii="仿宋" w:hAnsi="仿宋" w:eastAsia="仿宋"/>
              </w:rPr>
            </w:pPr>
          </w:p>
        </w:tc>
        <w:tc>
          <w:tcPr>
            <w:tcW w:w="1234" w:type="dxa"/>
            <w:gridSpan w:val="4"/>
            <w:vAlign w:val="center"/>
          </w:tcPr>
          <w:p>
            <w:pPr>
              <w:spacing w:line="480" w:lineRule="exact"/>
              <w:jc w:val="center"/>
              <w:rPr>
                <w:rFonts w:ascii="仿宋" w:hAnsi="仿宋" w:eastAsia="仿宋"/>
              </w:rPr>
            </w:pPr>
            <w:r>
              <w:rPr>
                <w:rFonts w:hint="eastAsia" w:ascii="仿宋" w:hAnsi="仿宋" w:eastAsia="仿宋"/>
              </w:rPr>
              <w:t>组织机构代码</w:t>
            </w:r>
          </w:p>
        </w:tc>
        <w:tc>
          <w:tcPr>
            <w:tcW w:w="1606" w:type="dxa"/>
            <w:vAlign w:val="center"/>
          </w:tcPr>
          <w:p>
            <w:pPr>
              <w:spacing w:line="4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375" w:type="dxa"/>
            <w:vAlign w:val="center"/>
          </w:tcPr>
          <w:p>
            <w:pPr>
              <w:spacing w:line="480" w:lineRule="exact"/>
              <w:jc w:val="center"/>
              <w:rPr>
                <w:rFonts w:ascii="仿宋" w:hAnsi="仿宋" w:eastAsia="仿宋"/>
              </w:rPr>
            </w:pPr>
            <w:r>
              <w:rPr>
                <w:rFonts w:hint="eastAsia" w:ascii="仿宋" w:hAnsi="仿宋" w:eastAsia="仿宋"/>
              </w:rPr>
              <w:t>企业类型</w:t>
            </w:r>
          </w:p>
        </w:tc>
        <w:tc>
          <w:tcPr>
            <w:tcW w:w="4307" w:type="dxa"/>
            <w:gridSpan w:val="7"/>
            <w:vAlign w:val="center"/>
          </w:tcPr>
          <w:p>
            <w:pPr>
              <w:numPr>
                <w:ilvl w:val="0"/>
                <w:numId w:val="6"/>
              </w:numPr>
              <w:spacing w:line="480" w:lineRule="exact"/>
              <w:ind w:firstLine="420" w:firstLineChars="200"/>
              <w:rPr>
                <w:rFonts w:ascii="仿宋" w:hAnsi="仿宋" w:eastAsia="仿宋"/>
              </w:rPr>
            </w:pPr>
            <w:r>
              <w:rPr>
                <w:rFonts w:hint="eastAsia" w:ascii="仿宋" w:hAnsi="仿宋" w:eastAsia="仿宋"/>
              </w:rPr>
              <w:t>有限责任公司□股份有限公司</w:t>
            </w:r>
          </w:p>
          <w:p>
            <w:pPr>
              <w:numPr>
                <w:ilvl w:val="0"/>
                <w:numId w:val="6"/>
              </w:numPr>
              <w:spacing w:line="480" w:lineRule="exact"/>
              <w:ind w:firstLine="420" w:firstLineChars="200"/>
              <w:rPr>
                <w:rFonts w:ascii="仿宋" w:hAnsi="仿宋" w:eastAsia="仿宋"/>
              </w:rPr>
            </w:pPr>
            <w:r>
              <w:rPr>
                <w:rFonts w:hint="eastAsia" w:ascii="仿宋" w:hAnsi="仿宋" w:eastAsia="仿宋"/>
              </w:rPr>
              <w:t>中外合资企业□全民所有制企业</w:t>
            </w:r>
          </w:p>
          <w:p>
            <w:pPr>
              <w:spacing w:line="480" w:lineRule="exact"/>
              <w:ind w:firstLine="420" w:firstLineChars="200"/>
              <w:rPr>
                <w:rFonts w:ascii="仿宋" w:hAnsi="仿宋" w:eastAsia="仿宋"/>
              </w:rPr>
            </w:pPr>
            <w:r>
              <w:rPr>
                <w:rFonts w:hint="eastAsia" w:ascii="仿宋" w:hAnsi="仿宋" w:eastAsia="仿宋"/>
              </w:rPr>
              <w:t>□集体所有制企业□独资企业</w:t>
            </w:r>
          </w:p>
        </w:tc>
        <w:tc>
          <w:tcPr>
            <w:tcW w:w="1234" w:type="dxa"/>
            <w:gridSpan w:val="4"/>
            <w:vAlign w:val="center"/>
          </w:tcPr>
          <w:p>
            <w:pPr>
              <w:spacing w:line="480" w:lineRule="exact"/>
              <w:jc w:val="center"/>
              <w:rPr>
                <w:rFonts w:ascii="仿宋" w:hAnsi="仿宋" w:eastAsia="仿宋"/>
              </w:rPr>
            </w:pPr>
            <w:r>
              <w:rPr>
                <w:rFonts w:hint="eastAsia" w:ascii="仿宋" w:hAnsi="仿宋" w:eastAsia="仿宋"/>
              </w:rPr>
              <w:t>上年度销售额</w:t>
            </w:r>
          </w:p>
        </w:tc>
        <w:tc>
          <w:tcPr>
            <w:tcW w:w="1606" w:type="dxa"/>
            <w:vAlign w:val="center"/>
          </w:tcPr>
          <w:p>
            <w:pPr>
              <w:spacing w:line="4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1375" w:type="dxa"/>
            <w:vAlign w:val="center"/>
          </w:tcPr>
          <w:p>
            <w:pPr>
              <w:spacing w:line="480" w:lineRule="exact"/>
              <w:jc w:val="center"/>
              <w:rPr>
                <w:rFonts w:ascii="仿宋" w:hAnsi="仿宋" w:eastAsia="仿宋"/>
              </w:rPr>
            </w:pPr>
            <w:r>
              <w:rPr>
                <w:rFonts w:hint="eastAsia" w:ascii="仿宋" w:hAnsi="仿宋" w:eastAsia="仿宋"/>
              </w:rPr>
              <w:t>详细地址</w:t>
            </w:r>
          </w:p>
        </w:tc>
        <w:tc>
          <w:tcPr>
            <w:tcW w:w="7147" w:type="dxa"/>
            <w:gridSpan w:val="12"/>
            <w:vAlign w:val="center"/>
          </w:tcPr>
          <w:p>
            <w:pPr>
              <w:spacing w:line="4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1375" w:type="dxa"/>
            <w:vMerge w:val="restart"/>
            <w:vAlign w:val="center"/>
          </w:tcPr>
          <w:p>
            <w:pPr>
              <w:spacing w:line="480" w:lineRule="exact"/>
              <w:jc w:val="center"/>
              <w:rPr>
                <w:rFonts w:ascii="仿宋" w:hAnsi="仿宋" w:eastAsia="仿宋"/>
              </w:rPr>
            </w:pPr>
            <w:r>
              <w:rPr>
                <w:rFonts w:hint="eastAsia" w:ascii="仿宋" w:hAnsi="仿宋" w:eastAsia="仿宋"/>
              </w:rPr>
              <w:t>营业执照</w:t>
            </w:r>
          </w:p>
        </w:tc>
        <w:tc>
          <w:tcPr>
            <w:tcW w:w="1539" w:type="dxa"/>
            <w:gridSpan w:val="2"/>
            <w:vAlign w:val="center"/>
          </w:tcPr>
          <w:p>
            <w:pPr>
              <w:spacing w:line="480" w:lineRule="exact"/>
              <w:jc w:val="center"/>
              <w:rPr>
                <w:rFonts w:ascii="仿宋" w:hAnsi="仿宋" w:eastAsia="仿宋"/>
              </w:rPr>
            </w:pPr>
            <w:r>
              <w:rPr>
                <w:rFonts w:hint="eastAsia" w:ascii="仿宋" w:hAnsi="仿宋" w:eastAsia="仿宋"/>
              </w:rPr>
              <w:t>注册号</w:t>
            </w:r>
          </w:p>
        </w:tc>
        <w:tc>
          <w:tcPr>
            <w:tcW w:w="2304" w:type="dxa"/>
            <w:gridSpan w:val="4"/>
            <w:vAlign w:val="center"/>
          </w:tcPr>
          <w:p>
            <w:pPr>
              <w:spacing w:line="480" w:lineRule="exact"/>
              <w:jc w:val="center"/>
              <w:rPr>
                <w:rFonts w:ascii="仿宋" w:hAnsi="仿宋" w:eastAsia="仿宋"/>
              </w:rPr>
            </w:pPr>
          </w:p>
        </w:tc>
        <w:tc>
          <w:tcPr>
            <w:tcW w:w="1698" w:type="dxa"/>
            <w:gridSpan w:val="5"/>
            <w:vAlign w:val="center"/>
          </w:tcPr>
          <w:p>
            <w:pPr>
              <w:spacing w:line="480" w:lineRule="exact"/>
              <w:jc w:val="center"/>
              <w:rPr>
                <w:rFonts w:ascii="仿宋" w:hAnsi="仿宋" w:eastAsia="仿宋"/>
              </w:rPr>
            </w:pPr>
            <w:r>
              <w:rPr>
                <w:rFonts w:hint="eastAsia" w:ascii="仿宋" w:hAnsi="仿宋" w:eastAsia="仿宋"/>
              </w:rPr>
              <w:t>法定代表人</w:t>
            </w:r>
          </w:p>
        </w:tc>
        <w:tc>
          <w:tcPr>
            <w:tcW w:w="1606" w:type="dxa"/>
            <w:vAlign w:val="center"/>
          </w:tcPr>
          <w:p>
            <w:pPr>
              <w:spacing w:line="4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375" w:type="dxa"/>
            <w:vMerge w:val="continue"/>
            <w:vAlign w:val="center"/>
          </w:tcPr>
          <w:p>
            <w:pPr>
              <w:spacing w:line="480" w:lineRule="exact"/>
              <w:jc w:val="center"/>
              <w:rPr>
                <w:rFonts w:ascii="仿宋" w:hAnsi="仿宋" w:eastAsia="仿宋"/>
              </w:rPr>
            </w:pPr>
          </w:p>
        </w:tc>
        <w:tc>
          <w:tcPr>
            <w:tcW w:w="1539" w:type="dxa"/>
            <w:gridSpan w:val="2"/>
            <w:vAlign w:val="center"/>
          </w:tcPr>
          <w:p>
            <w:pPr>
              <w:spacing w:line="480" w:lineRule="exact"/>
              <w:jc w:val="center"/>
              <w:rPr>
                <w:rFonts w:ascii="仿宋" w:hAnsi="仿宋" w:eastAsia="仿宋"/>
              </w:rPr>
            </w:pPr>
            <w:r>
              <w:rPr>
                <w:rFonts w:hint="eastAsia" w:ascii="仿宋" w:hAnsi="仿宋" w:eastAsia="仿宋"/>
              </w:rPr>
              <w:t>经营范围</w:t>
            </w:r>
          </w:p>
        </w:tc>
        <w:tc>
          <w:tcPr>
            <w:tcW w:w="2304" w:type="dxa"/>
            <w:gridSpan w:val="4"/>
            <w:vAlign w:val="center"/>
          </w:tcPr>
          <w:p>
            <w:pPr>
              <w:spacing w:line="480" w:lineRule="exact"/>
              <w:jc w:val="center"/>
              <w:rPr>
                <w:rFonts w:ascii="仿宋" w:hAnsi="仿宋" w:eastAsia="仿宋"/>
              </w:rPr>
            </w:pPr>
          </w:p>
        </w:tc>
        <w:tc>
          <w:tcPr>
            <w:tcW w:w="1698" w:type="dxa"/>
            <w:gridSpan w:val="5"/>
            <w:vAlign w:val="center"/>
          </w:tcPr>
          <w:p>
            <w:pPr>
              <w:spacing w:line="480" w:lineRule="exact"/>
              <w:jc w:val="center"/>
              <w:rPr>
                <w:rFonts w:ascii="仿宋" w:hAnsi="仿宋" w:eastAsia="仿宋"/>
              </w:rPr>
            </w:pPr>
            <w:r>
              <w:rPr>
                <w:rFonts w:hint="eastAsia" w:ascii="仿宋" w:hAnsi="仿宋" w:eastAsia="仿宋"/>
              </w:rPr>
              <w:t>注册资本</w:t>
            </w:r>
          </w:p>
        </w:tc>
        <w:tc>
          <w:tcPr>
            <w:tcW w:w="1606" w:type="dxa"/>
            <w:vAlign w:val="center"/>
          </w:tcPr>
          <w:p>
            <w:pPr>
              <w:spacing w:line="4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1375" w:type="dxa"/>
            <w:vMerge w:val="continue"/>
            <w:vAlign w:val="center"/>
          </w:tcPr>
          <w:p>
            <w:pPr>
              <w:spacing w:line="480" w:lineRule="exact"/>
              <w:jc w:val="center"/>
              <w:rPr>
                <w:rFonts w:ascii="仿宋" w:hAnsi="仿宋" w:eastAsia="仿宋"/>
              </w:rPr>
            </w:pPr>
          </w:p>
        </w:tc>
        <w:tc>
          <w:tcPr>
            <w:tcW w:w="1539" w:type="dxa"/>
            <w:gridSpan w:val="2"/>
            <w:vAlign w:val="center"/>
          </w:tcPr>
          <w:p>
            <w:pPr>
              <w:spacing w:line="480" w:lineRule="exact"/>
              <w:jc w:val="center"/>
              <w:rPr>
                <w:rFonts w:ascii="仿宋" w:hAnsi="仿宋" w:eastAsia="仿宋"/>
              </w:rPr>
            </w:pPr>
            <w:r>
              <w:rPr>
                <w:rFonts w:hint="eastAsia" w:ascii="仿宋" w:hAnsi="仿宋" w:eastAsia="仿宋"/>
              </w:rPr>
              <w:t>发证时间</w:t>
            </w:r>
          </w:p>
        </w:tc>
        <w:tc>
          <w:tcPr>
            <w:tcW w:w="2304" w:type="dxa"/>
            <w:gridSpan w:val="4"/>
            <w:vAlign w:val="center"/>
          </w:tcPr>
          <w:p>
            <w:pPr>
              <w:spacing w:line="480" w:lineRule="exact"/>
              <w:jc w:val="center"/>
              <w:rPr>
                <w:rFonts w:ascii="仿宋" w:hAnsi="仿宋" w:eastAsia="仿宋"/>
              </w:rPr>
            </w:pPr>
          </w:p>
        </w:tc>
        <w:tc>
          <w:tcPr>
            <w:tcW w:w="1698" w:type="dxa"/>
            <w:gridSpan w:val="5"/>
            <w:vAlign w:val="center"/>
          </w:tcPr>
          <w:p>
            <w:pPr>
              <w:spacing w:line="480" w:lineRule="exact"/>
              <w:jc w:val="center"/>
              <w:rPr>
                <w:rFonts w:ascii="仿宋" w:hAnsi="仿宋" w:eastAsia="仿宋"/>
              </w:rPr>
            </w:pPr>
            <w:r>
              <w:rPr>
                <w:rFonts w:hint="eastAsia" w:ascii="仿宋" w:hAnsi="仿宋" w:eastAsia="仿宋"/>
              </w:rPr>
              <w:t>营业期限</w:t>
            </w:r>
          </w:p>
        </w:tc>
        <w:tc>
          <w:tcPr>
            <w:tcW w:w="1606" w:type="dxa"/>
            <w:vAlign w:val="center"/>
          </w:tcPr>
          <w:p>
            <w:pPr>
              <w:spacing w:line="4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1375" w:type="dxa"/>
            <w:vMerge w:val="restart"/>
            <w:vAlign w:val="center"/>
          </w:tcPr>
          <w:p>
            <w:pPr>
              <w:spacing w:line="480" w:lineRule="exact"/>
              <w:ind w:firstLine="420" w:firstLineChars="200"/>
              <w:jc w:val="center"/>
              <w:rPr>
                <w:rFonts w:ascii="仿宋" w:hAnsi="仿宋" w:eastAsia="仿宋"/>
              </w:rPr>
            </w:pPr>
            <w:r>
              <w:rPr>
                <w:rFonts w:hint="eastAsia" w:ascii="仿宋" w:hAnsi="仿宋" w:eastAsia="仿宋"/>
              </w:rPr>
              <w:t>生产许</w:t>
            </w:r>
          </w:p>
          <w:p>
            <w:pPr>
              <w:spacing w:line="480" w:lineRule="exact"/>
              <w:ind w:firstLine="420" w:firstLineChars="200"/>
              <w:jc w:val="center"/>
              <w:rPr>
                <w:rFonts w:ascii="仿宋" w:hAnsi="仿宋" w:eastAsia="仿宋"/>
              </w:rPr>
            </w:pPr>
            <w:r>
              <w:rPr>
                <w:rFonts w:hint="eastAsia" w:ascii="仿宋" w:hAnsi="仿宋" w:eastAsia="仿宋"/>
              </w:rPr>
              <w:t>可证或经营许可证</w:t>
            </w:r>
          </w:p>
        </w:tc>
        <w:tc>
          <w:tcPr>
            <w:tcW w:w="1539" w:type="dxa"/>
            <w:gridSpan w:val="2"/>
            <w:tcBorders>
              <w:bottom w:val="single" w:color="auto" w:sz="4" w:space="0"/>
            </w:tcBorders>
            <w:vAlign w:val="center"/>
          </w:tcPr>
          <w:p>
            <w:pPr>
              <w:spacing w:line="480" w:lineRule="exact"/>
              <w:jc w:val="center"/>
              <w:rPr>
                <w:rFonts w:ascii="仿宋" w:hAnsi="仿宋" w:eastAsia="仿宋"/>
              </w:rPr>
            </w:pPr>
            <w:r>
              <w:rPr>
                <w:rFonts w:hint="eastAsia" w:ascii="仿宋" w:hAnsi="仿宋" w:eastAsia="仿宋"/>
              </w:rPr>
              <w:t>许可证号</w:t>
            </w:r>
          </w:p>
        </w:tc>
        <w:tc>
          <w:tcPr>
            <w:tcW w:w="5608" w:type="dxa"/>
            <w:gridSpan w:val="10"/>
            <w:tcBorders>
              <w:bottom w:val="single" w:color="auto" w:sz="4" w:space="0"/>
            </w:tcBorders>
            <w:vAlign w:val="center"/>
          </w:tcPr>
          <w:p>
            <w:pPr>
              <w:spacing w:line="4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1375" w:type="dxa"/>
            <w:vMerge w:val="continue"/>
            <w:vAlign w:val="center"/>
          </w:tcPr>
          <w:p>
            <w:pPr>
              <w:spacing w:line="480" w:lineRule="exact"/>
              <w:jc w:val="center"/>
              <w:rPr>
                <w:rFonts w:ascii="仿宋" w:hAnsi="仿宋" w:eastAsia="仿宋"/>
              </w:rPr>
            </w:pPr>
          </w:p>
        </w:tc>
        <w:tc>
          <w:tcPr>
            <w:tcW w:w="1539" w:type="dxa"/>
            <w:gridSpan w:val="2"/>
            <w:vAlign w:val="center"/>
          </w:tcPr>
          <w:p>
            <w:pPr>
              <w:spacing w:line="480" w:lineRule="exact"/>
              <w:jc w:val="center"/>
              <w:rPr>
                <w:rFonts w:ascii="仿宋" w:hAnsi="仿宋" w:eastAsia="仿宋"/>
              </w:rPr>
            </w:pPr>
            <w:r>
              <w:rPr>
                <w:rFonts w:hint="eastAsia" w:ascii="仿宋" w:hAnsi="仿宋" w:eastAsia="仿宋"/>
              </w:rPr>
              <w:t>发证机关</w:t>
            </w:r>
          </w:p>
        </w:tc>
        <w:tc>
          <w:tcPr>
            <w:tcW w:w="5608" w:type="dxa"/>
            <w:gridSpan w:val="10"/>
            <w:vAlign w:val="center"/>
          </w:tcPr>
          <w:p>
            <w:pPr>
              <w:spacing w:line="4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375" w:type="dxa"/>
            <w:vMerge w:val="restart"/>
            <w:vAlign w:val="center"/>
          </w:tcPr>
          <w:p>
            <w:pPr>
              <w:spacing w:line="480" w:lineRule="exact"/>
              <w:jc w:val="center"/>
              <w:rPr>
                <w:rFonts w:ascii="仿宋" w:hAnsi="仿宋" w:eastAsia="仿宋"/>
              </w:rPr>
            </w:pPr>
            <w:r>
              <w:rPr>
                <w:rFonts w:hint="eastAsia" w:ascii="仿宋" w:hAnsi="仿宋" w:eastAsia="仿宋"/>
              </w:rPr>
              <w:t>被授权人情况</w:t>
            </w:r>
          </w:p>
        </w:tc>
        <w:tc>
          <w:tcPr>
            <w:tcW w:w="1232" w:type="dxa"/>
            <w:vAlign w:val="center"/>
          </w:tcPr>
          <w:p>
            <w:pPr>
              <w:spacing w:line="480" w:lineRule="exact"/>
              <w:jc w:val="center"/>
              <w:rPr>
                <w:rFonts w:ascii="仿宋" w:hAnsi="仿宋" w:eastAsia="仿宋"/>
              </w:rPr>
            </w:pPr>
            <w:r>
              <w:rPr>
                <w:rFonts w:hint="eastAsia" w:ascii="仿宋" w:hAnsi="仿宋" w:eastAsia="仿宋"/>
              </w:rPr>
              <w:t>姓名</w:t>
            </w:r>
          </w:p>
        </w:tc>
        <w:tc>
          <w:tcPr>
            <w:tcW w:w="1924" w:type="dxa"/>
            <w:gridSpan w:val="4"/>
            <w:vAlign w:val="center"/>
          </w:tcPr>
          <w:p>
            <w:pPr>
              <w:spacing w:line="480" w:lineRule="exact"/>
              <w:jc w:val="center"/>
              <w:rPr>
                <w:rFonts w:ascii="仿宋" w:hAnsi="仿宋" w:eastAsia="仿宋"/>
              </w:rPr>
            </w:pPr>
          </w:p>
        </w:tc>
        <w:tc>
          <w:tcPr>
            <w:tcW w:w="1305" w:type="dxa"/>
            <w:gridSpan w:val="4"/>
            <w:vAlign w:val="center"/>
          </w:tcPr>
          <w:p>
            <w:pPr>
              <w:spacing w:line="480" w:lineRule="exact"/>
              <w:jc w:val="center"/>
              <w:rPr>
                <w:rFonts w:ascii="仿宋" w:hAnsi="仿宋" w:eastAsia="仿宋"/>
              </w:rPr>
            </w:pPr>
            <w:r>
              <w:rPr>
                <w:rFonts w:hint="eastAsia" w:ascii="仿宋" w:hAnsi="仿宋" w:eastAsia="仿宋"/>
              </w:rPr>
              <w:t>身份证号</w:t>
            </w:r>
          </w:p>
        </w:tc>
        <w:tc>
          <w:tcPr>
            <w:tcW w:w="2686" w:type="dxa"/>
            <w:gridSpan w:val="3"/>
            <w:vAlign w:val="center"/>
          </w:tcPr>
          <w:p>
            <w:pPr>
              <w:spacing w:line="4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375" w:type="dxa"/>
            <w:vMerge w:val="continue"/>
            <w:vAlign w:val="center"/>
          </w:tcPr>
          <w:p>
            <w:pPr>
              <w:spacing w:line="480" w:lineRule="exact"/>
              <w:jc w:val="center"/>
              <w:rPr>
                <w:rFonts w:ascii="仿宋" w:hAnsi="仿宋" w:eastAsia="仿宋"/>
              </w:rPr>
            </w:pPr>
          </w:p>
        </w:tc>
        <w:tc>
          <w:tcPr>
            <w:tcW w:w="1232" w:type="dxa"/>
            <w:vAlign w:val="center"/>
          </w:tcPr>
          <w:p>
            <w:pPr>
              <w:spacing w:line="480" w:lineRule="exact"/>
              <w:ind w:firstLine="420" w:firstLineChars="200"/>
              <w:jc w:val="center"/>
              <w:rPr>
                <w:rFonts w:ascii="仿宋" w:hAnsi="仿宋" w:eastAsia="仿宋"/>
              </w:rPr>
            </w:pPr>
            <w:r>
              <w:rPr>
                <w:rFonts w:hint="eastAsia" w:ascii="仿宋" w:hAnsi="仿宋" w:eastAsia="仿宋"/>
              </w:rPr>
              <w:t>联系</w:t>
            </w:r>
          </w:p>
          <w:p>
            <w:pPr>
              <w:spacing w:line="480" w:lineRule="exact"/>
              <w:ind w:firstLine="420" w:firstLineChars="200"/>
              <w:jc w:val="center"/>
              <w:rPr>
                <w:rFonts w:ascii="仿宋" w:hAnsi="仿宋" w:eastAsia="仿宋"/>
              </w:rPr>
            </w:pPr>
            <w:r>
              <w:rPr>
                <w:rFonts w:hint="eastAsia" w:ascii="仿宋" w:hAnsi="仿宋" w:eastAsia="仿宋"/>
              </w:rPr>
              <w:t>电话</w:t>
            </w:r>
          </w:p>
        </w:tc>
        <w:tc>
          <w:tcPr>
            <w:tcW w:w="1101" w:type="dxa"/>
            <w:gridSpan w:val="2"/>
            <w:vAlign w:val="center"/>
          </w:tcPr>
          <w:p>
            <w:pPr>
              <w:spacing w:line="480" w:lineRule="exact"/>
              <w:jc w:val="center"/>
              <w:rPr>
                <w:rFonts w:ascii="仿宋" w:hAnsi="仿宋" w:eastAsia="仿宋"/>
              </w:rPr>
            </w:pPr>
          </w:p>
        </w:tc>
        <w:tc>
          <w:tcPr>
            <w:tcW w:w="823" w:type="dxa"/>
            <w:gridSpan w:val="2"/>
            <w:vAlign w:val="center"/>
          </w:tcPr>
          <w:p>
            <w:pPr>
              <w:spacing w:line="480" w:lineRule="exact"/>
              <w:jc w:val="center"/>
              <w:rPr>
                <w:rFonts w:ascii="仿宋" w:hAnsi="仿宋" w:eastAsia="仿宋"/>
              </w:rPr>
            </w:pPr>
            <w:r>
              <w:rPr>
                <w:rFonts w:hint="eastAsia" w:ascii="仿宋" w:hAnsi="仿宋" w:eastAsia="仿宋"/>
              </w:rPr>
              <w:t>传真</w:t>
            </w:r>
          </w:p>
        </w:tc>
        <w:tc>
          <w:tcPr>
            <w:tcW w:w="1305" w:type="dxa"/>
            <w:gridSpan w:val="4"/>
            <w:vAlign w:val="center"/>
          </w:tcPr>
          <w:p>
            <w:pPr>
              <w:spacing w:line="480" w:lineRule="exact"/>
              <w:jc w:val="center"/>
              <w:rPr>
                <w:rFonts w:ascii="仿宋" w:hAnsi="仿宋" w:eastAsia="仿宋"/>
              </w:rPr>
            </w:pPr>
          </w:p>
        </w:tc>
        <w:tc>
          <w:tcPr>
            <w:tcW w:w="869" w:type="dxa"/>
            <w:vAlign w:val="center"/>
          </w:tcPr>
          <w:p>
            <w:pPr>
              <w:spacing w:line="480" w:lineRule="exact"/>
              <w:jc w:val="center"/>
              <w:rPr>
                <w:rFonts w:ascii="仿宋" w:hAnsi="仿宋" w:eastAsia="仿宋"/>
              </w:rPr>
            </w:pPr>
            <w:r>
              <w:rPr>
                <w:rFonts w:hint="eastAsia" w:ascii="仿宋" w:hAnsi="仿宋" w:eastAsia="仿宋"/>
              </w:rPr>
              <w:t>手机</w:t>
            </w:r>
          </w:p>
        </w:tc>
        <w:tc>
          <w:tcPr>
            <w:tcW w:w="1817" w:type="dxa"/>
            <w:gridSpan w:val="2"/>
            <w:vAlign w:val="center"/>
          </w:tcPr>
          <w:p>
            <w:pPr>
              <w:spacing w:line="4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1375" w:type="dxa"/>
            <w:vMerge w:val="continue"/>
            <w:vAlign w:val="center"/>
          </w:tcPr>
          <w:p>
            <w:pPr>
              <w:spacing w:line="480" w:lineRule="exact"/>
              <w:jc w:val="center"/>
              <w:rPr>
                <w:rFonts w:ascii="仿宋" w:hAnsi="仿宋" w:eastAsia="仿宋"/>
              </w:rPr>
            </w:pPr>
          </w:p>
        </w:tc>
        <w:tc>
          <w:tcPr>
            <w:tcW w:w="1232" w:type="dxa"/>
            <w:vAlign w:val="center"/>
          </w:tcPr>
          <w:p>
            <w:pPr>
              <w:spacing w:line="480" w:lineRule="exact"/>
              <w:ind w:firstLine="420" w:firstLineChars="200"/>
              <w:jc w:val="center"/>
              <w:rPr>
                <w:rFonts w:ascii="仿宋" w:hAnsi="仿宋" w:eastAsia="仿宋"/>
              </w:rPr>
            </w:pPr>
            <w:r>
              <w:rPr>
                <w:rFonts w:hint="eastAsia" w:ascii="仿宋" w:hAnsi="仿宋" w:eastAsia="仿宋"/>
              </w:rPr>
              <w:t>通讯</w:t>
            </w:r>
          </w:p>
          <w:p>
            <w:pPr>
              <w:spacing w:line="480" w:lineRule="exact"/>
              <w:ind w:firstLine="420" w:firstLineChars="200"/>
              <w:jc w:val="center"/>
              <w:rPr>
                <w:rFonts w:ascii="仿宋" w:hAnsi="仿宋" w:eastAsia="仿宋"/>
              </w:rPr>
            </w:pPr>
            <w:r>
              <w:rPr>
                <w:rFonts w:hint="eastAsia" w:ascii="仿宋" w:hAnsi="仿宋" w:eastAsia="仿宋"/>
              </w:rPr>
              <w:t>地址</w:t>
            </w:r>
          </w:p>
        </w:tc>
        <w:tc>
          <w:tcPr>
            <w:tcW w:w="5915" w:type="dxa"/>
            <w:gridSpan w:val="11"/>
            <w:vAlign w:val="center"/>
          </w:tcPr>
          <w:p>
            <w:pPr>
              <w:spacing w:line="4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375" w:type="dxa"/>
            <w:vMerge w:val="continue"/>
            <w:vAlign w:val="center"/>
          </w:tcPr>
          <w:p>
            <w:pPr>
              <w:spacing w:line="480" w:lineRule="exact"/>
              <w:jc w:val="center"/>
              <w:rPr>
                <w:rFonts w:ascii="仿宋" w:hAnsi="仿宋" w:eastAsia="仿宋"/>
              </w:rPr>
            </w:pPr>
          </w:p>
        </w:tc>
        <w:tc>
          <w:tcPr>
            <w:tcW w:w="1232" w:type="dxa"/>
            <w:vAlign w:val="center"/>
          </w:tcPr>
          <w:p>
            <w:pPr>
              <w:spacing w:line="480" w:lineRule="exact"/>
              <w:jc w:val="center"/>
              <w:rPr>
                <w:rFonts w:ascii="仿宋" w:hAnsi="仿宋" w:eastAsia="仿宋"/>
              </w:rPr>
            </w:pPr>
            <w:r>
              <w:rPr>
                <w:rFonts w:hint="eastAsia" w:ascii="仿宋" w:hAnsi="仿宋" w:eastAsia="仿宋"/>
              </w:rPr>
              <w:t>邮编</w:t>
            </w:r>
          </w:p>
        </w:tc>
        <w:tc>
          <w:tcPr>
            <w:tcW w:w="1612" w:type="dxa"/>
            <w:gridSpan w:val="3"/>
            <w:vAlign w:val="center"/>
          </w:tcPr>
          <w:p>
            <w:pPr>
              <w:spacing w:line="480" w:lineRule="exact"/>
              <w:jc w:val="center"/>
              <w:rPr>
                <w:rFonts w:ascii="仿宋" w:hAnsi="仿宋" w:eastAsia="仿宋"/>
              </w:rPr>
            </w:pPr>
          </w:p>
        </w:tc>
        <w:tc>
          <w:tcPr>
            <w:tcW w:w="1557" w:type="dxa"/>
            <w:gridSpan w:val="4"/>
            <w:vAlign w:val="center"/>
          </w:tcPr>
          <w:p>
            <w:pPr>
              <w:spacing w:line="480" w:lineRule="exact"/>
              <w:jc w:val="center"/>
              <w:rPr>
                <w:rFonts w:ascii="仿宋" w:hAnsi="仿宋" w:eastAsia="仿宋"/>
              </w:rPr>
            </w:pPr>
            <w:r>
              <w:rPr>
                <w:rFonts w:hint="eastAsia" w:ascii="仿宋" w:hAnsi="仿宋" w:eastAsia="仿宋"/>
              </w:rPr>
              <w:t>电子信箱</w:t>
            </w:r>
          </w:p>
        </w:tc>
        <w:tc>
          <w:tcPr>
            <w:tcW w:w="2746" w:type="dxa"/>
            <w:gridSpan w:val="4"/>
            <w:vAlign w:val="center"/>
          </w:tcPr>
          <w:p>
            <w:pPr>
              <w:spacing w:line="480" w:lineRule="exact"/>
              <w:jc w:val="center"/>
              <w:rPr>
                <w:rFonts w:ascii="仿宋" w:hAnsi="仿宋" w:eastAsia="仿宋"/>
              </w:rPr>
            </w:pPr>
          </w:p>
        </w:tc>
      </w:tr>
    </w:tbl>
    <w:p>
      <w:pPr>
        <w:tabs>
          <w:tab w:val="left" w:pos="4860"/>
          <w:tab w:val="left" w:pos="5400"/>
          <w:tab w:val="left" w:pos="5580"/>
        </w:tabs>
        <w:spacing w:line="480" w:lineRule="exact"/>
        <w:ind w:firstLine="422" w:firstLineChars="200"/>
        <w:jc w:val="left"/>
        <w:rPr>
          <w:rFonts w:ascii="仿宋" w:hAnsi="仿宋" w:eastAsia="仿宋"/>
          <w:bCs/>
        </w:rPr>
      </w:pPr>
      <w:r>
        <w:rPr>
          <w:rFonts w:hint="eastAsia" w:ascii="仿宋" w:hAnsi="仿宋" w:eastAsia="仿宋"/>
          <w:b/>
        </w:rPr>
        <w:t>注：</w:t>
      </w:r>
      <w:r>
        <w:rPr>
          <w:rFonts w:hint="eastAsia" w:ascii="仿宋" w:hAnsi="仿宋" w:eastAsia="仿宋"/>
          <w:bCs/>
        </w:rPr>
        <w:t>1、本表作为投标文件的重要部分，务必认真填写，不得涂改。</w:t>
      </w:r>
    </w:p>
    <w:p>
      <w:pPr>
        <w:numPr>
          <w:ilvl w:val="0"/>
          <w:numId w:val="7"/>
        </w:numPr>
        <w:spacing w:line="480" w:lineRule="exact"/>
        <w:ind w:left="561" w:leftChars="267" w:firstLine="420" w:firstLineChars="200"/>
        <w:rPr>
          <w:rFonts w:ascii="仿宋" w:hAnsi="仿宋" w:eastAsia="仿宋"/>
          <w:bCs/>
        </w:rPr>
      </w:pPr>
      <w:r>
        <w:rPr>
          <w:rFonts w:hint="eastAsia" w:ascii="仿宋" w:hAnsi="仿宋" w:eastAsia="仿宋"/>
          <w:bCs/>
        </w:rPr>
        <w:t>投标人应保证本表所填内容真实有效，如与事实有出入，则视为无效投标。</w:t>
      </w:r>
    </w:p>
    <w:p>
      <w:pPr>
        <w:spacing w:line="480" w:lineRule="exact"/>
        <w:ind w:left="981" w:leftChars="467"/>
        <w:rPr>
          <w:rFonts w:ascii="仿宋" w:hAnsi="仿宋" w:eastAsia="仿宋"/>
          <w:bCs/>
        </w:rPr>
      </w:pPr>
    </w:p>
    <w:p>
      <w:pPr>
        <w:pStyle w:val="3"/>
        <w:numPr>
          <w:ilvl w:val="0"/>
          <w:numId w:val="5"/>
        </w:numPr>
        <w:ind w:firstLine="602" w:firstLineChars="200"/>
        <w:jc w:val="center"/>
        <w:rPr>
          <w:rFonts w:ascii="仿宋" w:hAnsi="仿宋" w:eastAsia="仿宋"/>
          <w:sz w:val="30"/>
          <w:szCs w:val="30"/>
        </w:rPr>
      </w:pPr>
      <w:bookmarkStart w:id="222" w:name="_Toc25964"/>
      <w:bookmarkStart w:id="223" w:name="_Toc9302"/>
      <w:bookmarkStart w:id="224" w:name="_Toc16844"/>
      <w:bookmarkStart w:id="225" w:name="_Toc15407"/>
      <w:bookmarkStart w:id="226" w:name="_Toc3460"/>
      <w:bookmarkStart w:id="227" w:name="_Toc8518"/>
      <w:bookmarkStart w:id="228" w:name="_Toc22731"/>
      <w:r>
        <w:rPr>
          <w:rFonts w:hint="eastAsia" w:ascii="仿宋" w:hAnsi="仿宋" w:eastAsia="仿宋"/>
          <w:bCs w:val="0"/>
          <w:sz w:val="30"/>
          <w:szCs w:val="30"/>
        </w:rPr>
        <w:t>法定代表人身份证明</w:t>
      </w:r>
      <w:bookmarkEnd w:id="222"/>
      <w:bookmarkEnd w:id="223"/>
      <w:bookmarkEnd w:id="224"/>
      <w:bookmarkEnd w:id="225"/>
      <w:bookmarkEnd w:id="226"/>
      <w:bookmarkEnd w:id="227"/>
      <w:bookmarkEnd w:id="228"/>
    </w:p>
    <w:p>
      <w:pPr>
        <w:pStyle w:val="50"/>
        <w:ind w:firstLine="420" w:firstLineChars="200"/>
        <w:rPr>
          <w:rFonts w:ascii="仿宋" w:hAnsi="仿宋" w:eastAsia="仿宋" w:cs="Times New Roman"/>
          <w:bCs/>
          <w:color w:val="auto"/>
          <w:kern w:val="2"/>
          <w:sz w:val="21"/>
          <w:szCs w:val="21"/>
          <w:u w:val="single"/>
        </w:rPr>
      </w:pPr>
      <w:r>
        <w:rPr>
          <w:rFonts w:hint="eastAsia" w:ascii="仿宋" w:hAnsi="仿宋" w:eastAsia="仿宋" w:cs="Times New Roman"/>
          <w:bCs/>
          <w:color w:val="auto"/>
          <w:kern w:val="2"/>
          <w:sz w:val="21"/>
          <w:szCs w:val="21"/>
        </w:rPr>
        <w:t>投标人名称：</w:t>
      </w:r>
    </w:p>
    <w:p>
      <w:pPr>
        <w:pStyle w:val="50"/>
        <w:ind w:firstLine="420" w:firstLineChars="200"/>
        <w:rPr>
          <w:rFonts w:ascii="仿宋" w:hAnsi="仿宋" w:eastAsia="仿宋" w:cs="Times New Roman"/>
          <w:bCs/>
          <w:color w:val="auto"/>
          <w:kern w:val="2"/>
          <w:sz w:val="21"/>
          <w:szCs w:val="21"/>
        </w:rPr>
      </w:pPr>
      <w:r>
        <w:rPr>
          <w:rFonts w:hint="eastAsia" w:ascii="仿宋" w:hAnsi="仿宋" w:eastAsia="仿宋" w:cs="Times New Roman"/>
          <w:bCs/>
          <w:color w:val="auto"/>
          <w:kern w:val="2"/>
          <w:sz w:val="21"/>
          <w:szCs w:val="21"/>
        </w:rPr>
        <w:t>单位性质：</w:t>
      </w:r>
    </w:p>
    <w:p>
      <w:pPr>
        <w:pStyle w:val="50"/>
        <w:ind w:firstLine="420" w:firstLineChars="200"/>
        <w:rPr>
          <w:rFonts w:ascii="仿宋" w:hAnsi="仿宋" w:eastAsia="仿宋" w:cs="Times New Roman"/>
          <w:bCs/>
          <w:color w:val="auto"/>
          <w:kern w:val="2"/>
          <w:sz w:val="21"/>
          <w:szCs w:val="21"/>
        </w:rPr>
      </w:pPr>
      <w:r>
        <w:rPr>
          <w:rFonts w:hint="eastAsia" w:ascii="仿宋" w:hAnsi="仿宋" w:eastAsia="仿宋" w:cs="Times New Roman"/>
          <w:bCs/>
          <w:color w:val="auto"/>
          <w:kern w:val="2"/>
          <w:sz w:val="21"/>
          <w:szCs w:val="21"/>
        </w:rPr>
        <w:t>地址：</w:t>
      </w:r>
    </w:p>
    <w:p>
      <w:pPr>
        <w:pStyle w:val="50"/>
        <w:ind w:firstLine="420" w:firstLineChars="200"/>
        <w:rPr>
          <w:rFonts w:ascii="仿宋" w:hAnsi="仿宋" w:eastAsia="仿宋" w:cs="Times New Roman"/>
          <w:bCs/>
          <w:color w:val="auto"/>
          <w:kern w:val="2"/>
          <w:sz w:val="21"/>
          <w:szCs w:val="21"/>
        </w:rPr>
      </w:pPr>
      <w:r>
        <w:rPr>
          <w:rFonts w:hint="eastAsia" w:ascii="仿宋" w:hAnsi="仿宋" w:eastAsia="仿宋" w:cs="Times New Roman"/>
          <w:bCs/>
          <w:color w:val="auto"/>
          <w:kern w:val="2"/>
          <w:sz w:val="21"/>
          <w:szCs w:val="21"/>
        </w:rPr>
        <w:t>成立时间：</w:t>
      </w:r>
      <w:r>
        <w:rPr>
          <w:rFonts w:hint="eastAsia" w:ascii="仿宋" w:hAnsi="仿宋" w:eastAsia="仿宋" w:cs="Times New Roman"/>
          <w:bCs/>
          <w:color w:val="auto"/>
          <w:kern w:val="2"/>
          <w:sz w:val="21"/>
          <w:szCs w:val="21"/>
          <w:u w:val="single"/>
        </w:rPr>
        <w:t>年月日</w:t>
      </w:r>
    </w:p>
    <w:p>
      <w:pPr>
        <w:pStyle w:val="50"/>
        <w:ind w:firstLine="420" w:firstLineChars="200"/>
        <w:rPr>
          <w:rFonts w:ascii="仿宋" w:hAnsi="仿宋" w:eastAsia="仿宋" w:cs="Times New Roman"/>
          <w:bCs/>
          <w:color w:val="auto"/>
          <w:kern w:val="2"/>
          <w:sz w:val="21"/>
          <w:szCs w:val="21"/>
        </w:rPr>
      </w:pPr>
      <w:r>
        <w:rPr>
          <w:rFonts w:hint="eastAsia" w:ascii="仿宋" w:hAnsi="仿宋" w:eastAsia="仿宋" w:cs="Times New Roman"/>
          <w:bCs/>
          <w:color w:val="auto"/>
          <w:kern w:val="2"/>
          <w:sz w:val="21"/>
          <w:szCs w:val="21"/>
        </w:rPr>
        <w:t>经营期限：</w:t>
      </w:r>
    </w:p>
    <w:p>
      <w:pPr>
        <w:pStyle w:val="50"/>
        <w:ind w:firstLine="420" w:firstLineChars="200"/>
        <w:rPr>
          <w:rFonts w:ascii="仿宋" w:hAnsi="仿宋" w:eastAsia="仿宋" w:cs="Times New Roman"/>
          <w:bCs/>
          <w:color w:val="auto"/>
          <w:kern w:val="2"/>
          <w:sz w:val="21"/>
          <w:szCs w:val="21"/>
        </w:rPr>
      </w:pPr>
      <w:r>
        <w:rPr>
          <w:rFonts w:hint="eastAsia" w:ascii="仿宋" w:hAnsi="仿宋" w:eastAsia="仿宋" w:cs="Times New Roman"/>
          <w:bCs/>
          <w:color w:val="auto"/>
          <w:kern w:val="2"/>
          <w:sz w:val="21"/>
          <w:szCs w:val="21"/>
        </w:rPr>
        <w:t>姓名：系（投标人名称）的法定代表人（职务：电话：）。</w:t>
      </w:r>
    </w:p>
    <w:p>
      <w:pPr>
        <w:pStyle w:val="50"/>
        <w:ind w:firstLine="420" w:firstLineChars="200"/>
        <w:rPr>
          <w:rFonts w:ascii="仿宋" w:hAnsi="仿宋" w:eastAsia="仿宋" w:cs="Times New Roman"/>
          <w:bCs/>
          <w:color w:val="auto"/>
          <w:kern w:val="2"/>
          <w:sz w:val="21"/>
          <w:szCs w:val="21"/>
        </w:rPr>
      </w:pPr>
      <w:r>
        <w:rPr>
          <w:rFonts w:hint="eastAsia" w:ascii="仿宋" w:hAnsi="仿宋" w:eastAsia="仿宋" w:cs="Times New Roman"/>
          <w:bCs/>
          <w:color w:val="auto"/>
          <w:kern w:val="2"/>
          <w:sz w:val="21"/>
          <w:szCs w:val="21"/>
        </w:rPr>
        <w:t>特此证明。</w:t>
      </w:r>
    </w:p>
    <w:p>
      <w:pPr>
        <w:pStyle w:val="50"/>
        <w:ind w:firstLine="420" w:firstLineChars="200"/>
        <w:rPr>
          <w:rFonts w:ascii="仿宋" w:hAnsi="仿宋" w:eastAsia="仿宋" w:cs="Times New Roman"/>
          <w:bCs/>
          <w:color w:val="auto"/>
          <w:kern w:val="2"/>
          <w:sz w:val="21"/>
          <w:szCs w:val="21"/>
        </w:rPr>
      </w:pPr>
      <w:r>
        <w:rPr>
          <w:rFonts w:hint="eastAsia" w:ascii="仿宋" w:hAnsi="仿宋" w:eastAsia="仿宋" w:cs="Times New Roman"/>
          <w:bCs/>
          <w:color w:val="auto"/>
          <w:kern w:val="2"/>
          <w:sz w:val="21"/>
          <w:szCs w:val="21"/>
        </w:rPr>
        <w:t>附：法定代表人身份证复印件(正反面)</w:t>
      </w:r>
    </w:p>
    <w:p>
      <w:pPr>
        <w:pStyle w:val="50"/>
        <w:ind w:firstLine="420" w:firstLineChars="200"/>
        <w:jc w:val="right"/>
        <w:rPr>
          <w:rFonts w:ascii="仿宋" w:hAnsi="仿宋" w:eastAsia="仿宋" w:cs="Times New Roman"/>
          <w:bCs/>
          <w:color w:val="auto"/>
          <w:kern w:val="2"/>
          <w:sz w:val="21"/>
          <w:szCs w:val="21"/>
        </w:rPr>
      </w:pPr>
      <w:r>
        <w:rPr>
          <w:rFonts w:hint="eastAsia" w:ascii="仿宋" w:hAnsi="仿宋" w:eastAsia="仿宋" w:cs="Times New Roman"/>
          <w:bCs/>
          <w:color w:val="auto"/>
          <w:kern w:val="2"/>
          <w:sz w:val="21"/>
          <w:szCs w:val="21"/>
        </w:rPr>
        <w:t>投标人：（盖单位章）</w:t>
      </w:r>
    </w:p>
    <w:p>
      <w:pPr>
        <w:wordWrap w:val="0"/>
        <w:spacing w:line="500" w:lineRule="exact"/>
        <w:ind w:firstLine="420" w:firstLineChars="200"/>
        <w:jc w:val="right"/>
        <w:rPr>
          <w:rFonts w:ascii="仿宋" w:hAnsi="仿宋" w:eastAsia="仿宋"/>
          <w:bCs/>
        </w:rPr>
      </w:pPr>
      <w:r>
        <w:rPr>
          <w:rFonts w:hint="eastAsia" w:ascii="仿宋" w:hAnsi="仿宋" w:eastAsia="仿宋"/>
          <w:bCs/>
        </w:rPr>
        <w:t>年     月    日</w:t>
      </w:r>
    </w:p>
    <w:p>
      <w:pPr>
        <w:spacing w:line="500" w:lineRule="exact"/>
        <w:ind w:firstLine="420" w:firstLineChars="200"/>
        <w:jc w:val="right"/>
        <w:rPr>
          <w:rFonts w:ascii="仿宋" w:hAnsi="仿宋" w:eastAsia="仿宋"/>
          <w:bCs/>
        </w:rPr>
      </w:pPr>
    </w:p>
    <w:p>
      <w:pPr>
        <w:spacing w:line="500" w:lineRule="exact"/>
        <w:ind w:firstLine="420" w:firstLineChars="200"/>
        <w:jc w:val="right"/>
        <w:rPr>
          <w:rFonts w:ascii="仿宋" w:hAnsi="仿宋" w:eastAsia="仿宋"/>
          <w:bCs/>
        </w:rPr>
      </w:pPr>
    </w:p>
    <w:p>
      <w:pPr>
        <w:spacing w:line="500" w:lineRule="exact"/>
        <w:ind w:firstLine="420" w:firstLineChars="200"/>
        <w:jc w:val="right"/>
        <w:rPr>
          <w:rFonts w:ascii="仿宋" w:hAnsi="仿宋" w:eastAsia="仿宋"/>
          <w:bCs/>
        </w:rPr>
      </w:pPr>
    </w:p>
    <w:p>
      <w:pPr>
        <w:spacing w:line="500" w:lineRule="exact"/>
        <w:ind w:firstLine="420" w:firstLineChars="200"/>
        <w:jc w:val="right"/>
        <w:rPr>
          <w:rFonts w:ascii="仿宋" w:hAnsi="仿宋" w:eastAsia="仿宋"/>
          <w:bCs/>
        </w:rPr>
      </w:pPr>
    </w:p>
    <w:p>
      <w:pPr>
        <w:spacing w:line="500" w:lineRule="exact"/>
        <w:ind w:firstLine="420" w:firstLineChars="200"/>
        <w:jc w:val="right"/>
        <w:rPr>
          <w:rFonts w:ascii="仿宋" w:hAnsi="仿宋" w:eastAsia="仿宋"/>
          <w:bCs/>
        </w:rPr>
      </w:pPr>
    </w:p>
    <w:p>
      <w:pPr>
        <w:spacing w:line="500" w:lineRule="exact"/>
        <w:ind w:firstLine="420" w:firstLineChars="200"/>
        <w:jc w:val="right"/>
        <w:rPr>
          <w:rFonts w:ascii="仿宋" w:hAnsi="仿宋" w:eastAsia="仿宋"/>
          <w:bCs/>
        </w:rPr>
      </w:pPr>
    </w:p>
    <w:p>
      <w:pPr>
        <w:spacing w:line="500" w:lineRule="exact"/>
        <w:ind w:firstLine="420" w:firstLineChars="200"/>
        <w:jc w:val="right"/>
        <w:rPr>
          <w:rFonts w:ascii="仿宋" w:hAnsi="仿宋" w:eastAsia="仿宋"/>
          <w:bCs/>
        </w:rPr>
      </w:pPr>
    </w:p>
    <w:p>
      <w:pPr>
        <w:spacing w:line="500" w:lineRule="exact"/>
        <w:ind w:firstLine="420" w:firstLineChars="200"/>
        <w:jc w:val="right"/>
        <w:rPr>
          <w:rFonts w:ascii="仿宋" w:hAnsi="仿宋" w:eastAsia="仿宋"/>
          <w:bCs/>
        </w:rPr>
      </w:pPr>
    </w:p>
    <w:p>
      <w:pPr>
        <w:spacing w:line="500" w:lineRule="exact"/>
        <w:ind w:firstLine="420" w:firstLineChars="200"/>
        <w:jc w:val="right"/>
        <w:rPr>
          <w:rFonts w:ascii="仿宋" w:hAnsi="仿宋" w:eastAsia="仿宋"/>
          <w:bCs/>
        </w:rPr>
      </w:pPr>
    </w:p>
    <w:p>
      <w:pPr>
        <w:spacing w:line="500" w:lineRule="exact"/>
        <w:ind w:firstLine="420" w:firstLineChars="200"/>
        <w:jc w:val="right"/>
        <w:rPr>
          <w:rFonts w:ascii="仿宋" w:hAnsi="仿宋" w:eastAsia="仿宋"/>
          <w:bCs/>
        </w:rPr>
      </w:pPr>
    </w:p>
    <w:p>
      <w:pPr>
        <w:spacing w:line="500" w:lineRule="exact"/>
        <w:ind w:firstLine="420" w:firstLineChars="200"/>
        <w:jc w:val="right"/>
        <w:rPr>
          <w:rFonts w:ascii="仿宋" w:hAnsi="仿宋" w:eastAsia="仿宋"/>
          <w:bCs/>
        </w:rPr>
      </w:pPr>
    </w:p>
    <w:p>
      <w:pPr>
        <w:spacing w:line="500" w:lineRule="exact"/>
        <w:ind w:firstLine="420" w:firstLineChars="200"/>
        <w:jc w:val="right"/>
        <w:rPr>
          <w:rFonts w:ascii="仿宋" w:hAnsi="仿宋" w:eastAsia="仿宋"/>
          <w:bCs/>
        </w:rPr>
      </w:pPr>
    </w:p>
    <w:p>
      <w:pPr>
        <w:spacing w:line="500" w:lineRule="exact"/>
        <w:ind w:firstLine="420" w:firstLineChars="200"/>
        <w:jc w:val="right"/>
        <w:rPr>
          <w:rFonts w:ascii="仿宋" w:hAnsi="仿宋" w:eastAsia="仿宋"/>
          <w:bCs/>
        </w:rPr>
      </w:pPr>
    </w:p>
    <w:p>
      <w:pPr>
        <w:spacing w:line="500" w:lineRule="exact"/>
        <w:ind w:firstLine="420" w:firstLineChars="200"/>
        <w:jc w:val="right"/>
        <w:rPr>
          <w:rFonts w:ascii="仿宋" w:hAnsi="仿宋" w:eastAsia="仿宋"/>
          <w:bCs/>
        </w:rPr>
      </w:pPr>
    </w:p>
    <w:p>
      <w:pPr>
        <w:spacing w:line="500" w:lineRule="exact"/>
        <w:ind w:firstLine="420" w:firstLineChars="200"/>
        <w:jc w:val="right"/>
        <w:rPr>
          <w:rFonts w:ascii="仿宋" w:hAnsi="仿宋" w:eastAsia="仿宋"/>
          <w:bCs/>
        </w:rPr>
      </w:pPr>
    </w:p>
    <w:p>
      <w:pPr>
        <w:spacing w:line="500" w:lineRule="exact"/>
        <w:ind w:firstLine="420" w:firstLineChars="200"/>
        <w:jc w:val="right"/>
        <w:rPr>
          <w:rFonts w:ascii="仿宋" w:hAnsi="仿宋" w:eastAsia="仿宋"/>
          <w:bCs/>
        </w:rPr>
      </w:pPr>
    </w:p>
    <w:p>
      <w:pPr>
        <w:spacing w:line="500" w:lineRule="exact"/>
        <w:ind w:firstLine="420" w:firstLineChars="200"/>
        <w:jc w:val="right"/>
        <w:rPr>
          <w:rFonts w:ascii="仿宋" w:hAnsi="仿宋" w:eastAsia="仿宋"/>
          <w:bCs/>
        </w:rPr>
      </w:pPr>
    </w:p>
    <w:p>
      <w:pPr>
        <w:pStyle w:val="3"/>
        <w:ind w:firstLine="602" w:firstLineChars="200"/>
        <w:jc w:val="center"/>
        <w:rPr>
          <w:rFonts w:ascii="仿宋" w:hAnsi="仿宋" w:eastAsia="仿宋"/>
          <w:sz w:val="30"/>
          <w:szCs w:val="30"/>
        </w:rPr>
      </w:pPr>
      <w:bookmarkStart w:id="229" w:name="_Toc22584"/>
      <w:bookmarkStart w:id="230" w:name="_Toc9014"/>
      <w:bookmarkStart w:id="231" w:name="_Toc9791"/>
      <w:bookmarkStart w:id="232" w:name="_Toc27457"/>
      <w:bookmarkStart w:id="233" w:name="_Toc9814"/>
      <w:bookmarkStart w:id="234" w:name="_Toc26950"/>
      <w:bookmarkStart w:id="235" w:name="_Toc24718"/>
      <w:bookmarkStart w:id="236" w:name="_Toc343692951"/>
      <w:r>
        <w:rPr>
          <w:rFonts w:hint="eastAsia" w:ascii="仿宋" w:hAnsi="仿宋" w:eastAsia="仿宋"/>
          <w:sz w:val="30"/>
          <w:szCs w:val="30"/>
        </w:rPr>
        <w:t>四、法定代表人授权书</w:t>
      </w:r>
      <w:bookmarkEnd w:id="229"/>
      <w:bookmarkEnd w:id="230"/>
      <w:bookmarkEnd w:id="231"/>
      <w:bookmarkEnd w:id="232"/>
      <w:bookmarkEnd w:id="233"/>
      <w:bookmarkEnd w:id="234"/>
      <w:bookmarkEnd w:id="235"/>
      <w:bookmarkEnd w:id="236"/>
    </w:p>
    <w:p>
      <w:pPr>
        <w:adjustRightInd w:val="0"/>
        <w:snapToGrid w:val="0"/>
        <w:spacing w:line="500" w:lineRule="exact"/>
        <w:ind w:firstLine="420" w:firstLineChars="200"/>
        <w:rPr>
          <w:rFonts w:ascii="仿宋" w:hAnsi="仿宋" w:eastAsia="仿宋"/>
          <w:u w:val="single"/>
        </w:rPr>
      </w:pPr>
      <w:r>
        <w:rPr>
          <w:rFonts w:hint="eastAsia" w:ascii="仿宋" w:hAnsi="仿宋" w:eastAsia="仿宋"/>
        </w:rPr>
        <w:t>致：</w:t>
      </w:r>
      <w:r>
        <w:rPr>
          <w:rFonts w:hint="eastAsia" w:ascii="仿宋" w:hAnsi="仿宋" w:eastAsia="仿宋"/>
          <w:bCs/>
          <w:u w:val="single"/>
        </w:rPr>
        <w:t>中国建筑一局（集团）有限公司</w:t>
      </w:r>
    </w:p>
    <w:p>
      <w:pPr>
        <w:snapToGrid w:val="0"/>
        <w:spacing w:line="500" w:lineRule="exact"/>
        <w:ind w:firstLine="420" w:firstLineChars="200"/>
        <w:jc w:val="left"/>
        <w:rPr>
          <w:rFonts w:ascii="仿宋" w:hAnsi="仿宋" w:eastAsia="仿宋"/>
        </w:rPr>
      </w:pPr>
      <w:r>
        <w:rPr>
          <w:rFonts w:hint="eastAsia" w:ascii="仿宋" w:hAnsi="仿宋" w:eastAsia="仿宋"/>
        </w:rPr>
        <w:t>本授权书声明：位于</w:t>
      </w:r>
      <w:r>
        <w:rPr>
          <w:rFonts w:hint="eastAsia" w:ascii="仿宋" w:hAnsi="仿宋" w:eastAsia="仿宋"/>
          <w:u w:val="single"/>
        </w:rPr>
        <w:t>（公司地址）</w:t>
      </w:r>
      <w:r>
        <w:rPr>
          <w:rFonts w:hint="eastAsia" w:ascii="仿宋" w:hAnsi="仿宋" w:eastAsia="仿宋"/>
        </w:rPr>
        <w:t>的</w:t>
      </w:r>
      <w:r>
        <w:rPr>
          <w:rFonts w:hint="eastAsia" w:ascii="仿宋" w:hAnsi="仿宋" w:eastAsia="仿宋"/>
          <w:u w:val="single"/>
        </w:rPr>
        <w:t>（公司名称）</w:t>
      </w:r>
      <w:r>
        <w:rPr>
          <w:rFonts w:hint="eastAsia" w:ascii="仿宋" w:hAnsi="仿宋" w:eastAsia="仿宋"/>
        </w:rPr>
        <w:t>的</w:t>
      </w:r>
      <w:r>
        <w:rPr>
          <w:rFonts w:hint="eastAsia" w:ascii="仿宋" w:hAnsi="仿宋" w:eastAsia="仿宋"/>
          <w:u w:val="single"/>
        </w:rPr>
        <w:t>（法定代表人姓名）</w:t>
      </w:r>
      <w:r>
        <w:rPr>
          <w:rFonts w:hint="eastAsia" w:ascii="仿宋" w:hAnsi="仿宋" w:eastAsia="仿宋"/>
        </w:rPr>
        <w:t>代表本公司授权</w:t>
      </w:r>
      <w:r>
        <w:rPr>
          <w:rFonts w:hint="eastAsia" w:ascii="仿宋" w:hAnsi="仿宋" w:eastAsia="仿宋"/>
          <w:u w:val="single"/>
        </w:rPr>
        <w:t>（被授权人姓名）</w:t>
      </w:r>
      <w:r>
        <w:rPr>
          <w:rFonts w:hint="eastAsia" w:ascii="仿宋" w:hAnsi="仿宋" w:eastAsia="仿宋"/>
        </w:rPr>
        <w:t>为本公司的唯一合法代理人，代表本公司参加采购招标活动，并在整个招标采购活动中，以本公司名义全权处理包括递交企业和产品投标资质材料，确认投标相关信息，投标产品报价、议价，交纳相关费用，签订采购合同，执行和完成采购周期内的售后服务等一切与之有关的事务，并保证所提供的资质证明材料真实、合法、完整、有效。</w:t>
      </w:r>
    </w:p>
    <w:p>
      <w:pPr>
        <w:snapToGrid w:val="0"/>
        <w:spacing w:line="360" w:lineRule="auto"/>
        <w:ind w:firstLine="420" w:firstLineChars="200"/>
        <w:rPr>
          <w:rFonts w:ascii="仿宋" w:hAnsi="仿宋" w:eastAsia="仿宋"/>
        </w:rPr>
      </w:pPr>
      <w:r>
        <w:rPr>
          <w:rFonts w:hint="eastAsia" w:ascii="仿宋" w:hAnsi="仿宋" w:eastAsia="仿宋"/>
        </w:rPr>
        <w:t>本授权书于年月日签字生效，特此声明。</w:t>
      </w:r>
    </w:p>
    <w:p>
      <w:pPr>
        <w:spacing w:line="360" w:lineRule="auto"/>
        <w:ind w:firstLine="420" w:firstLineChars="200"/>
        <w:rPr>
          <w:rFonts w:ascii="仿宋" w:hAnsi="仿宋" w:eastAsia="仿宋"/>
        </w:rPr>
      </w:pPr>
      <w:r>
        <w:rPr>
          <w:rFonts w:hint="eastAsia" w:ascii="仿宋" w:hAnsi="仿宋" w:eastAsia="仿宋"/>
        </w:rPr>
        <w:t>授权期限为：2020年 月 日起至本次采购期结束。授权期限内无特殊情况不变更合法代理人（被授权人）。</w:t>
      </w:r>
    </w:p>
    <w:p>
      <w:pPr>
        <w:snapToGrid w:val="0"/>
        <w:spacing w:line="480" w:lineRule="auto"/>
        <w:ind w:firstLine="420" w:firstLineChars="200"/>
        <w:rPr>
          <w:rFonts w:ascii="仿宋" w:hAnsi="仿宋" w:eastAsia="仿宋"/>
        </w:rPr>
      </w:pPr>
      <w:r>
        <w:rPr>
          <w:rFonts w:hint="eastAsia" w:ascii="仿宋" w:hAnsi="仿宋" w:eastAsia="仿宋"/>
        </w:rPr>
        <w:t>法定代表人(签字)：被授权人(签字)：</w:t>
      </w:r>
    </w:p>
    <w:p>
      <w:pPr>
        <w:snapToGrid w:val="0"/>
        <w:spacing w:line="480" w:lineRule="auto"/>
        <w:ind w:firstLine="420" w:firstLineChars="200"/>
        <w:rPr>
          <w:rFonts w:ascii="仿宋" w:hAnsi="仿宋" w:eastAsia="仿宋"/>
        </w:rPr>
      </w:pPr>
      <w:r>
        <w:rPr>
          <w:rFonts w:hint="eastAsia" w:ascii="仿宋" w:hAnsi="仿宋" w:eastAsia="仿宋"/>
        </w:rPr>
        <w:t>授权单位名称（盖章）：联系电话：</w:t>
      </w:r>
    </w:p>
    <w:p>
      <w:pPr>
        <w:snapToGrid w:val="0"/>
        <w:spacing w:line="360" w:lineRule="auto"/>
        <w:ind w:firstLine="420" w:firstLineChars="200"/>
        <w:rPr>
          <w:rFonts w:ascii="仿宋" w:hAnsi="仿宋" w:eastAsia="仿宋"/>
        </w:rPr>
      </w:pPr>
      <w:r>
        <mc:AlternateContent>
          <mc:Choice Requires="wpg">
            <w:drawing>
              <wp:anchor distT="0" distB="0" distL="114300" distR="114300" simplePos="0" relativeHeight="251656192" behindDoc="0" locked="0" layoutInCell="1" allowOverlap="1">
                <wp:simplePos x="0" y="0"/>
                <wp:positionH relativeFrom="column">
                  <wp:posOffset>169545</wp:posOffset>
                </wp:positionH>
                <wp:positionV relativeFrom="paragraph">
                  <wp:posOffset>1130300</wp:posOffset>
                </wp:positionV>
                <wp:extent cx="5943600" cy="2179320"/>
                <wp:effectExtent l="5080" t="4445" r="13970" b="6985"/>
                <wp:wrapNone/>
                <wp:docPr id="1" name="组合 1"/>
                <wp:cNvGraphicFramePr/>
                <a:graphic xmlns:a="http://schemas.openxmlformats.org/drawingml/2006/main">
                  <a:graphicData uri="http://schemas.microsoft.com/office/word/2010/wordprocessingGroup">
                    <wpg:wgp>
                      <wpg:cNvGrpSpPr/>
                      <wpg:grpSpPr>
                        <a:xfrm>
                          <a:off x="0" y="0"/>
                          <a:ext cx="5943600" cy="2179320"/>
                          <a:chOff x="1440" y="12480"/>
                          <a:chExt cx="9360" cy="3432"/>
                        </a:xfrm>
                        <a:effectLst/>
                      </wpg:grpSpPr>
                      <wps:wsp>
                        <wps:cNvPr id="2" name="Rectangle 10"/>
                        <wps:cNvSpPr>
                          <a:spLocks noChangeArrowheads="1"/>
                        </wps:cNvSpPr>
                        <wps:spPr bwMode="auto">
                          <a:xfrm>
                            <a:off x="1440" y="12480"/>
                            <a:ext cx="3960" cy="3432"/>
                          </a:xfrm>
                          <a:prstGeom prst="rect">
                            <a:avLst/>
                          </a:prstGeom>
                          <a:solidFill>
                            <a:srgbClr val="FFFFFF"/>
                          </a:solidFill>
                          <a:ln w="9525" cap="rnd">
                            <a:solidFill>
                              <a:srgbClr val="000000"/>
                            </a:solidFill>
                            <a:prstDash val="sysDot"/>
                            <a:miter lim="200000"/>
                          </a:ln>
                          <a:effectLst/>
                        </wps:spPr>
                        <wps:txbx>
                          <w:txbxContent>
                            <w:p>
                              <w:pPr>
                                <w:jc w:val="center"/>
                                <w:rPr>
                                  <w:rFonts w:ascii="宋体" w:hAnsi="宋体"/>
                                  <w:b/>
                                  <w:sz w:val="28"/>
                                </w:rPr>
                              </w:pPr>
                            </w:p>
                            <w:p>
                              <w:pPr>
                                <w:jc w:val="center"/>
                                <w:rPr>
                                  <w:rFonts w:ascii="宋体" w:hAnsi="宋体"/>
                                  <w:b/>
                                  <w:sz w:val="28"/>
                                </w:rPr>
                              </w:pPr>
                              <w:r>
                                <w:rPr>
                                  <w:rFonts w:hint="eastAsia" w:ascii="宋体" w:hAnsi="宋体"/>
                                  <w:b/>
                                  <w:sz w:val="28"/>
                                </w:rPr>
                                <w:t>代理人（被授权人）</w:t>
                              </w:r>
                            </w:p>
                            <w:p>
                              <w:pPr>
                                <w:jc w:val="center"/>
                                <w:rPr>
                                  <w:rFonts w:ascii="宋体" w:hAnsi="宋体"/>
                                  <w:b/>
                                  <w:sz w:val="28"/>
                                </w:rPr>
                              </w:pPr>
                              <w:r>
                                <w:rPr>
                                  <w:rFonts w:hint="eastAsia" w:ascii="宋体" w:hAnsi="宋体"/>
                                  <w:b/>
                                  <w:sz w:val="28"/>
                                </w:rPr>
                                <w:t>居民身份证复印件</w:t>
                              </w:r>
                            </w:p>
                            <w:p>
                              <w:pPr>
                                <w:jc w:val="center"/>
                                <w:rPr>
                                  <w:rFonts w:ascii="宋体" w:hAnsi="宋体"/>
                                  <w:b/>
                                  <w:sz w:val="28"/>
                                </w:rPr>
                              </w:pPr>
                              <w:r>
                                <w:rPr>
                                  <w:rFonts w:hint="eastAsia" w:ascii="宋体" w:hAnsi="宋体"/>
                                  <w:b/>
                                  <w:sz w:val="28"/>
                                </w:rPr>
                                <w:t>粘贴处(正面)</w:t>
                              </w:r>
                            </w:p>
                          </w:txbxContent>
                        </wps:txbx>
                        <wps:bodyPr rot="0" vert="horz" wrap="square" lIns="91440" tIns="45720" rIns="91440" bIns="45720" anchor="t" anchorCtr="0" upright="1">
                          <a:noAutofit/>
                        </wps:bodyPr>
                      </wps:wsp>
                      <wps:wsp>
                        <wps:cNvPr id="3" name="Rectangle 11"/>
                        <wps:cNvSpPr>
                          <a:spLocks noChangeArrowheads="1"/>
                        </wps:cNvSpPr>
                        <wps:spPr bwMode="auto">
                          <a:xfrm>
                            <a:off x="6480" y="12480"/>
                            <a:ext cx="4320" cy="3432"/>
                          </a:xfrm>
                          <a:prstGeom prst="rect">
                            <a:avLst/>
                          </a:prstGeom>
                          <a:solidFill>
                            <a:srgbClr val="FFFFFF"/>
                          </a:solidFill>
                          <a:ln w="9525" cap="rnd">
                            <a:solidFill>
                              <a:srgbClr val="000000"/>
                            </a:solidFill>
                            <a:prstDash val="sysDot"/>
                            <a:miter lim="200000"/>
                          </a:ln>
                          <a:effectLst/>
                        </wps:spPr>
                        <wps:txbx>
                          <w:txbxContent>
                            <w:p>
                              <w:pPr>
                                <w:jc w:val="center"/>
                                <w:rPr>
                                  <w:rFonts w:ascii="宋体" w:hAnsi="宋体"/>
                                  <w:b/>
                                  <w:sz w:val="28"/>
                                </w:rPr>
                              </w:pPr>
                            </w:p>
                            <w:p>
                              <w:pPr>
                                <w:jc w:val="center"/>
                                <w:rPr>
                                  <w:rFonts w:ascii="宋体" w:hAnsi="宋体"/>
                                  <w:b/>
                                  <w:sz w:val="28"/>
                                </w:rPr>
                              </w:pPr>
                              <w:r>
                                <w:rPr>
                                  <w:rFonts w:hint="eastAsia" w:ascii="宋体" w:hAnsi="宋体"/>
                                  <w:b/>
                                  <w:sz w:val="28"/>
                                </w:rPr>
                                <w:t>代理人（被授权人）</w:t>
                              </w:r>
                            </w:p>
                            <w:p>
                              <w:pPr>
                                <w:jc w:val="center"/>
                                <w:rPr>
                                  <w:rFonts w:ascii="宋体" w:hAnsi="宋体"/>
                                  <w:b/>
                                  <w:sz w:val="28"/>
                                </w:rPr>
                              </w:pPr>
                              <w:r>
                                <w:rPr>
                                  <w:rFonts w:hint="eastAsia" w:ascii="宋体" w:hAnsi="宋体"/>
                                  <w:b/>
                                  <w:sz w:val="28"/>
                                </w:rPr>
                                <w:t>居民身份证复印件</w:t>
                              </w:r>
                            </w:p>
                            <w:p>
                              <w:pPr>
                                <w:jc w:val="center"/>
                                <w:rPr>
                                  <w:rFonts w:ascii="宋体" w:hAnsi="宋体"/>
                                  <w:b/>
                                  <w:sz w:val="28"/>
                                </w:rPr>
                              </w:pPr>
                              <w:r>
                                <w:rPr>
                                  <w:rFonts w:hint="eastAsia" w:ascii="宋体" w:hAnsi="宋体"/>
                                  <w:b/>
                                  <w:sz w:val="28"/>
                                </w:rPr>
                                <w:t>粘贴处(反面)</w:t>
                              </w:r>
                            </w:p>
                          </w:txbxContent>
                        </wps:txbx>
                        <wps:bodyPr rot="0" vert="horz" wrap="square" lIns="91440" tIns="45720" rIns="91440" bIns="45720" anchor="t" anchorCtr="0" upright="1">
                          <a:noAutofit/>
                        </wps:bodyPr>
                      </wps:wsp>
                      <wps:wsp>
                        <wps:cNvPr id="4" name="Oval 12"/>
                        <wps:cNvSpPr>
                          <a:spLocks noChangeArrowheads="1"/>
                        </wps:cNvSpPr>
                        <wps:spPr bwMode="auto">
                          <a:xfrm>
                            <a:off x="4860" y="13104"/>
                            <a:ext cx="2520" cy="2028"/>
                          </a:xfrm>
                          <a:prstGeom prst="ellipse">
                            <a:avLst/>
                          </a:prstGeom>
                          <a:solidFill>
                            <a:srgbClr val="FFFFFF"/>
                          </a:solidFill>
                          <a:ln w="9525" cap="rnd">
                            <a:solidFill>
                              <a:srgbClr val="000000"/>
                            </a:solidFill>
                            <a:prstDash val="sysDot"/>
                            <a:round/>
                          </a:ln>
                          <a:effectLst/>
                        </wps:spPr>
                        <wps:txbx>
                          <w:txbxContent>
                            <w:p>
                              <w:pPr>
                                <w:ind w:firstLine="560" w:firstLineChars="200"/>
                                <w:rPr>
                                  <w:sz w:val="28"/>
                                  <w:szCs w:val="28"/>
                                </w:rPr>
                              </w:pPr>
                              <w:r>
                                <w:rPr>
                                  <w:rFonts w:hint="eastAsia"/>
                                  <w:sz w:val="28"/>
                                  <w:szCs w:val="28"/>
                                </w:rPr>
                                <w:t>加盖</w:t>
                              </w:r>
                            </w:p>
                            <w:p>
                              <w:pPr>
                                <w:ind w:firstLine="280" w:firstLineChars="100"/>
                                <w:rPr>
                                  <w:sz w:val="28"/>
                                  <w:szCs w:val="28"/>
                                </w:rPr>
                              </w:pPr>
                              <w:r>
                                <w:rPr>
                                  <w:rFonts w:hint="eastAsia"/>
                                  <w:sz w:val="28"/>
                                  <w:szCs w:val="28"/>
                                </w:rPr>
                                <w:t>单位印章</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3.35pt;margin-top:89pt;height:171.6pt;width:468pt;z-index:251656192;mso-width-relative:page;mso-height-relative:page;" coordorigin="1440,12480" coordsize="9360,3432" o:gfxdata="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">
                <o:lock v:ext="edit" aspectratio="f"/>
                <v:rect id="Rectangle 10" o:spid="_x0000_s1026" o:spt="1" style="position:absolute;left:1440;top:12480;height:3432;width:3960;" fillcolor="#FFFFFF" filled="t" stroked="t" coordsize="21600,21600" o:gfxdata="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N+s5ugAAANoA&#10;AAAPAAAAAAAAAAEAIAAAACIAAABkcnMvZG93bnJldi54bWxQSwECFAAUAAAACACHTuJAMy8FnjsA&#10;AAA5AAAAEAAAAAAAAAABACAAAAAJAQAAZHJzL3NoYXBleG1sLnhtbFBLBQYAAAAABgAGAFsBAACz&#10;AwAAAAA=&#10;">
                  <v:fill on="t" focussize="0,0"/>
                  <v:stroke color="#000000" miterlimit="2" joinstyle="miter" dashstyle="1 1" endcap="round"/>
                  <v:imagedata o:title=""/>
                  <o:lock v:ext="edit" aspectratio="f"/>
                  <v:textbox>
                    <w:txbxContent>
                      <w:p>
                        <w:pPr>
                          <w:jc w:val="center"/>
                          <w:rPr>
                            <w:rFonts w:ascii="宋体" w:hAnsi="宋体"/>
                            <w:b/>
                            <w:sz w:val="28"/>
                          </w:rPr>
                        </w:pPr>
                      </w:p>
                      <w:p>
                        <w:pPr>
                          <w:jc w:val="center"/>
                          <w:rPr>
                            <w:rFonts w:ascii="宋体" w:hAnsi="宋体"/>
                            <w:b/>
                            <w:sz w:val="28"/>
                          </w:rPr>
                        </w:pPr>
                        <w:r>
                          <w:rPr>
                            <w:rFonts w:hint="eastAsia" w:ascii="宋体" w:hAnsi="宋体"/>
                            <w:b/>
                            <w:sz w:val="28"/>
                          </w:rPr>
                          <w:t>代理人（被授权人）</w:t>
                        </w:r>
                      </w:p>
                      <w:p>
                        <w:pPr>
                          <w:jc w:val="center"/>
                          <w:rPr>
                            <w:rFonts w:ascii="宋体" w:hAnsi="宋体"/>
                            <w:b/>
                            <w:sz w:val="28"/>
                          </w:rPr>
                        </w:pPr>
                        <w:r>
                          <w:rPr>
                            <w:rFonts w:hint="eastAsia" w:ascii="宋体" w:hAnsi="宋体"/>
                            <w:b/>
                            <w:sz w:val="28"/>
                          </w:rPr>
                          <w:t>居民身份证复印件</w:t>
                        </w:r>
                      </w:p>
                      <w:p>
                        <w:pPr>
                          <w:jc w:val="center"/>
                          <w:rPr>
                            <w:rFonts w:ascii="宋体" w:hAnsi="宋体"/>
                            <w:b/>
                            <w:sz w:val="28"/>
                          </w:rPr>
                        </w:pPr>
                        <w:r>
                          <w:rPr>
                            <w:rFonts w:hint="eastAsia" w:ascii="宋体" w:hAnsi="宋体"/>
                            <w:b/>
                            <w:sz w:val="28"/>
                          </w:rPr>
                          <w:t>粘贴处(正面)</w:t>
                        </w:r>
                      </w:p>
                    </w:txbxContent>
                  </v:textbox>
                </v:rect>
                <v:rect id="Rectangle 11" o:spid="_x0000_s1026" o:spt="1" style="position:absolute;left:6480;top:12480;height:3432;width:4320;" fillcolor="#FFFFFF" filled="t" stroked="t" coordsize="21600,21600" o:gfxdata="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e06ivQAA&#10;ANoAAAAPAAAAAAAAAAEAIAAAACIAAABkcnMvZG93bnJldi54bWxQSwECFAAUAAAACACHTuJAMy8F&#10;njsAAAA5AAAAEAAAAAAAAAABACAAAAAMAQAAZHJzL3NoYXBleG1sLnhtbFBLBQYAAAAABgAGAFsB&#10;AAC2AwAAAAA=&#10;">
                  <v:fill on="t" focussize="0,0"/>
                  <v:stroke color="#000000" miterlimit="2" joinstyle="miter" dashstyle="1 1" endcap="round"/>
                  <v:imagedata o:title=""/>
                  <o:lock v:ext="edit" aspectratio="f"/>
                  <v:textbox>
                    <w:txbxContent>
                      <w:p>
                        <w:pPr>
                          <w:jc w:val="center"/>
                          <w:rPr>
                            <w:rFonts w:ascii="宋体" w:hAnsi="宋体"/>
                            <w:b/>
                            <w:sz w:val="28"/>
                          </w:rPr>
                        </w:pPr>
                      </w:p>
                      <w:p>
                        <w:pPr>
                          <w:jc w:val="center"/>
                          <w:rPr>
                            <w:rFonts w:ascii="宋体" w:hAnsi="宋体"/>
                            <w:b/>
                            <w:sz w:val="28"/>
                          </w:rPr>
                        </w:pPr>
                        <w:r>
                          <w:rPr>
                            <w:rFonts w:hint="eastAsia" w:ascii="宋体" w:hAnsi="宋体"/>
                            <w:b/>
                            <w:sz w:val="28"/>
                          </w:rPr>
                          <w:t>代理人（被授权人）</w:t>
                        </w:r>
                      </w:p>
                      <w:p>
                        <w:pPr>
                          <w:jc w:val="center"/>
                          <w:rPr>
                            <w:rFonts w:ascii="宋体" w:hAnsi="宋体"/>
                            <w:b/>
                            <w:sz w:val="28"/>
                          </w:rPr>
                        </w:pPr>
                        <w:r>
                          <w:rPr>
                            <w:rFonts w:hint="eastAsia" w:ascii="宋体" w:hAnsi="宋体"/>
                            <w:b/>
                            <w:sz w:val="28"/>
                          </w:rPr>
                          <w:t>居民身份证复印件</w:t>
                        </w:r>
                      </w:p>
                      <w:p>
                        <w:pPr>
                          <w:jc w:val="center"/>
                          <w:rPr>
                            <w:rFonts w:ascii="宋体" w:hAnsi="宋体"/>
                            <w:b/>
                            <w:sz w:val="28"/>
                          </w:rPr>
                        </w:pPr>
                        <w:r>
                          <w:rPr>
                            <w:rFonts w:hint="eastAsia" w:ascii="宋体" w:hAnsi="宋体"/>
                            <w:b/>
                            <w:sz w:val="28"/>
                          </w:rPr>
                          <w:t>粘贴处(反面)</w:t>
                        </w:r>
                      </w:p>
                    </w:txbxContent>
                  </v:textbox>
                </v:rect>
                <v:shape id="Oval 12" o:spid="_x0000_s1026" o:spt="3" type="#_x0000_t3" style="position:absolute;left:4860;top:13104;height:2028;width:2520;" fillcolor="#FFFFFF" filled="t" stroked="t" coordsize="21600,21600" o:gfxdata="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KcGGvQAA&#10;ANoAAAAPAAAAAAAAAAEAIAAAACIAAABkcnMvZG93bnJldi54bWxQSwECFAAUAAAACACHTuJAMy8F&#10;njsAAAA5AAAAEAAAAAAAAAABACAAAAAMAQAAZHJzL3NoYXBleG1sLnhtbFBLBQYAAAAABgAGAFsB&#10;AAC2AwAAAAA=&#10;">
                  <v:fill on="t" focussize="0,0"/>
                  <v:stroke color="#000000" joinstyle="round" dashstyle="1 1" endcap="round"/>
                  <v:imagedata o:title=""/>
                  <o:lock v:ext="edit" aspectratio="f"/>
                  <v:textbox>
                    <w:txbxContent>
                      <w:p>
                        <w:pPr>
                          <w:ind w:firstLine="560" w:firstLineChars="200"/>
                          <w:rPr>
                            <w:sz w:val="28"/>
                            <w:szCs w:val="28"/>
                          </w:rPr>
                        </w:pPr>
                        <w:r>
                          <w:rPr>
                            <w:rFonts w:hint="eastAsia"/>
                            <w:sz w:val="28"/>
                            <w:szCs w:val="28"/>
                          </w:rPr>
                          <w:t>加盖</w:t>
                        </w:r>
                      </w:p>
                      <w:p>
                        <w:pPr>
                          <w:ind w:firstLine="280" w:firstLineChars="100"/>
                          <w:rPr>
                            <w:sz w:val="28"/>
                            <w:szCs w:val="28"/>
                          </w:rPr>
                        </w:pPr>
                        <w:r>
                          <w:rPr>
                            <w:rFonts w:hint="eastAsia"/>
                            <w:sz w:val="28"/>
                            <w:szCs w:val="28"/>
                          </w:rPr>
                          <w:t>单位印章</w:t>
                        </w:r>
                      </w:p>
                    </w:txbxContent>
                  </v:textbox>
                </v:shape>
              </v:group>
            </w:pict>
          </mc:Fallback>
        </mc:AlternateContent>
      </w:r>
    </w:p>
    <w:p>
      <w:pPr>
        <w:pStyle w:val="3"/>
        <w:rPr>
          <w:rFonts w:ascii="仿宋" w:hAnsi="仿宋" w:eastAsia="仿宋"/>
          <w:sz w:val="30"/>
          <w:szCs w:val="30"/>
        </w:rPr>
      </w:pPr>
      <w:bookmarkStart w:id="237" w:name="_Toc5881"/>
      <w:bookmarkStart w:id="238" w:name="_Toc29346"/>
      <w:bookmarkStart w:id="239" w:name="_Toc26008"/>
      <w:bookmarkStart w:id="240" w:name="_Toc17562"/>
      <w:bookmarkStart w:id="241" w:name="_Toc9969"/>
      <w:bookmarkStart w:id="242" w:name="_Toc24333"/>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pStyle w:val="3"/>
        <w:tabs>
          <w:tab w:val="center" w:pos="5131"/>
          <w:tab w:val="left" w:pos="7488"/>
        </w:tabs>
        <w:ind w:firstLine="602" w:firstLineChars="200"/>
        <w:jc w:val="left"/>
        <w:rPr>
          <w:rFonts w:ascii="仿宋" w:hAnsi="仿宋" w:eastAsia="仿宋"/>
          <w:sz w:val="30"/>
          <w:szCs w:val="30"/>
        </w:rPr>
      </w:pPr>
      <w:r>
        <w:rPr>
          <w:rFonts w:ascii="仿宋" w:hAnsi="仿宋" w:eastAsia="仿宋"/>
          <w:sz w:val="30"/>
          <w:szCs w:val="30"/>
        </w:rPr>
        <w:tab/>
      </w:r>
      <w:r>
        <w:rPr>
          <w:rFonts w:hint="eastAsia" w:ascii="仿宋" w:hAnsi="仿宋" w:eastAsia="仿宋"/>
          <w:sz w:val="30"/>
          <w:szCs w:val="30"/>
        </w:rPr>
        <w:t>五、投标承诺函</w:t>
      </w:r>
      <w:bookmarkEnd w:id="237"/>
      <w:bookmarkEnd w:id="238"/>
      <w:bookmarkEnd w:id="239"/>
      <w:bookmarkEnd w:id="240"/>
      <w:bookmarkEnd w:id="241"/>
      <w:bookmarkEnd w:id="242"/>
      <w:r>
        <w:rPr>
          <w:rFonts w:ascii="仿宋" w:hAnsi="仿宋" w:eastAsia="仿宋"/>
          <w:sz w:val="30"/>
          <w:szCs w:val="30"/>
        </w:rPr>
        <w:tab/>
      </w:r>
    </w:p>
    <w:p>
      <w:pPr>
        <w:spacing w:line="500" w:lineRule="exact"/>
        <w:ind w:firstLine="420" w:firstLineChars="200"/>
        <w:rPr>
          <w:rFonts w:ascii="宋体" w:hAnsi="宋体"/>
          <w:bCs/>
          <w:u w:val="single"/>
        </w:rPr>
      </w:pPr>
      <w:r>
        <w:rPr>
          <w:rFonts w:hint="eastAsia" w:ascii="宋体" w:hAnsi="宋体"/>
          <w:bCs/>
          <w:u w:val="single"/>
        </w:rPr>
        <w:t>中国建筑一局（集团）有限公司：</w:t>
      </w:r>
    </w:p>
    <w:p>
      <w:pPr>
        <w:spacing w:line="360" w:lineRule="auto"/>
        <w:ind w:firstLine="420" w:firstLineChars="200"/>
        <w:rPr>
          <w:rFonts w:ascii="宋体" w:hAnsi="宋体"/>
          <w:bCs/>
        </w:rPr>
      </w:pPr>
      <w:r>
        <w:rPr>
          <w:rFonts w:hint="eastAsia" w:ascii="宋体" w:hAnsi="宋体"/>
          <w:bCs/>
        </w:rPr>
        <w:t>根据贵方</w:t>
      </w:r>
      <w:r>
        <w:rPr>
          <w:rFonts w:hint="eastAsia" w:ascii="宋体" w:hAnsi="宋体"/>
          <w:bCs/>
          <w:u w:val="single"/>
        </w:rPr>
        <w:t>融悦大厦北区施工总承包工程</w:t>
      </w:r>
      <w:r>
        <w:rPr>
          <w:rFonts w:hint="eastAsia" w:ascii="宋体" w:hAnsi="宋体"/>
          <w:bCs/>
        </w:rPr>
        <w:t>项目招标采购的</w:t>
      </w:r>
      <w:r>
        <w:rPr>
          <w:rFonts w:hint="eastAsia" w:ascii="宋体" w:hAnsi="宋体"/>
          <w:b/>
          <w:bCs/>
          <w:u w:val="single"/>
          <w:lang w:eastAsia="zh-CN"/>
        </w:rPr>
        <w:t>变压器</w:t>
      </w:r>
      <w:r>
        <w:rPr>
          <w:rFonts w:hint="eastAsia" w:ascii="宋体" w:hAnsi="宋体"/>
          <w:b/>
          <w:bCs/>
          <w:u w:val="single"/>
        </w:rPr>
        <w:t xml:space="preserve"> </w:t>
      </w:r>
      <w:r>
        <w:rPr>
          <w:rFonts w:hint="eastAsia" w:ascii="宋体" w:hAnsi="宋体"/>
          <w:bCs/>
        </w:rPr>
        <w:t>的招标</w:t>
      </w:r>
      <w:r>
        <w:rPr>
          <w:rFonts w:ascii="宋体" w:hAnsi="宋体"/>
          <w:bCs/>
        </w:rPr>
        <mc:AlternateContent>
          <mc:Choice Requires="wps">
            <w:drawing>
              <wp:anchor distT="0" distB="0" distL="114300" distR="114300" simplePos="0" relativeHeight="251659264" behindDoc="0" locked="0" layoutInCell="1" allowOverlap="1">
                <wp:simplePos x="0" y="0"/>
                <wp:positionH relativeFrom="column">
                  <wp:posOffset>4229100</wp:posOffset>
                </wp:positionH>
                <wp:positionV relativeFrom="paragraph">
                  <wp:posOffset>0</wp:posOffset>
                </wp:positionV>
                <wp:extent cx="635" cy="0"/>
                <wp:effectExtent l="0" t="0" r="0" b="0"/>
                <wp:wrapNone/>
                <wp:docPr id="5" name="直线 2"/>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333pt;margin-top:0pt;height:0pt;width:0.05pt;z-index:251659264;mso-width-relative:page;mso-height-relative:page;" filled="f" stroked="t" coordsize="21600,21600" o:gfxdata="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4jxHTAAAABQEAAA8AAAAAAAAAAQAgAAAAIgAAAGRycy9kb3ducmV2LnhtbFBL&#10;AQIUABQAAAAIAIdO4kAvMUdLwgEAAH4DAAAOAAAAAAAAAAEAIAAAACIBAABkcnMvZTJvRG9jLnht&#10;bFBLBQYAAAAABgAGAFkBAABWBQAAAAA=&#10;">
                <v:fill on="f" focussize="0,0"/>
                <v:stroke weight="1pt" color="#000000" joinstyle="round"/>
                <v:imagedata o:title=""/>
                <o:lock v:ext="edit" aspectratio="f"/>
              </v:line>
            </w:pict>
          </mc:Fallback>
        </mc:AlternateContent>
      </w:r>
      <w:r>
        <w:rPr>
          <w:rFonts w:hint="eastAsia" w:ascii="宋体" w:hAnsi="宋体"/>
          <w:bCs/>
        </w:rPr>
        <w:t>，我方</w:t>
      </w:r>
      <w:r>
        <w:rPr>
          <w:rFonts w:ascii="宋体" w:hAnsi="宋体"/>
          <w:bCs/>
          <w:u w:val="single"/>
        </w:rPr>
        <w:tab/>
      </w:r>
      <w:r>
        <w:rPr>
          <w:rFonts w:ascii="宋体" w:hAnsi="宋体"/>
          <w:bCs/>
          <w:u w:val="single"/>
        </w:rPr>
        <w:tab/>
      </w:r>
      <w:r>
        <w:rPr>
          <w:rFonts w:ascii="宋体" w:hAnsi="宋体"/>
          <w:bCs/>
          <w:u w:val="single"/>
        </w:rPr>
        <w:tab/>
      </w:r>
      <w:r>
        <w:rPr>
          <w:rFonts w:ascii="宋体" w:hAnsi="宋体"/>
          <w:bCs/>
          <w:u w:val="single"/>
        </w:rPr>
        <w:tab/>
      </w:r>
      <w:r>
        <w:rPr>
          <w:rFonts w:ascii="宋体" w:hAnsi="宋体"/>
          <w:bCs/>
          <w:u w:val="single"/>
        </w:rPr>
        <w:tab/>
      </w:r>
      <w:r>
        <w:rPr>
          <w:rFonts w:ascii="宋体" w:hAnsi="宋体"/>
          <w:bCs/>
          <w:u w:val="single"/>
        </w:rPr>
        <w:tab/>
      </w:r>
      <w:r>
        <w:rPr>
          <w:rFonts w:ascii="宋体" w:hAnsi="宋体"/>
          <w:bCs/>
          <w:u w:val="single"/>
        </w:rPr>
        <w:tab/>
      </w:r>
      <w:r>
        <w:rPr>
          <w:rFonts w:hint="eastAsia" w:ascii="宋体" w:hAnsi="宋体"/>
          <w:bCs/>
        </w:rPr>
        <w:t>（投标人全称）在对招标文件内容及要求充分理解的基础上，愿意以：</w:t>
      </w:r>
      <w:r>
        <w:rPr>
          <w:rFonts w:ascii="宋体" w:hAnsi="宋体"/>
          <w:b/>
          <w:bCs/>
          <w:u w:val="single"/>
        </w:rPr>
        <w:t>RMB</w:t>
      </w:r>
      <w:r>
        <w:rPr>
          <w:rFonts w:hint="eastAsia" w:ascii="宋体" w:hAnsi="宋体"/>
          <w:b/>
          <w:bCs/>
          <w:u w:val="single"/>
        </w:rPr>
        <w:t>元，（人民币大写）元</w:t>
      </w:r>
    </w:p>
    <w:p>
      <w:pPr>
        <w:spacing w:line="360" w:lineRule="auto"/>
        <w:ind w:firstLine="420" w:firstLineChars="200"/>
        <w:rPr>
          <w:rFonts w:ascii="宋体" w:hAnsi="宋体"/>
          <w:bCs/>
        </w:rPr>
      </w:pPr>
      <w:r>
        <w:rPr>
          <w:rFonts w:hint="eastAsia" w:ascii="宋体" w:hAnsi="宋体"/>
          <w:bCs/>
        </w:rPr>
        <w:t>我方对贵单位所发的招标文件中所有条款予以确认，并进一步承诺如下：</w:t>
      </w:r>
    </w:p>
    <w:p>
      <w:pPr>
        <w:spacing w:line="360" w:lineRule="auto"/>
        <w:ind w:firstLine="420" w:firstLineChars="200"/>
        <w:rPr>
          <w:rFonts w:ascii="宋体" w:hAnsi="宋体"/>
          <w:bCs/>
        </w:rPr>
      </w:pPr>
      <w:r>
        <w:rPr>
          <w:rFonts w:hint="eastAsia" w:ascii="宋体" w:hAnsi="宋体"/>
          <w:bCs/>
        </w:rPr>
        <w:t>1、我方所报的单价，已充分考虑了招标文件及供货合同要求中标单位（供方）应承担的所有义务及风险，由此造成或可能造成的费用我方已包含在报价中。</w:t>
      </w:r>
    </w:p>
    <w:p>
      <w:pPr>
        <w:spacing w:line="360" w:lineRule="auto"/>
        <w:ind w:firstLine="420" w:firstLineChars="200"/>
        <w:rPr>
          <w:rFonts w:ascii="宋体" w:hAnsi="宋体"/>
          <w:bCs/>
        </w:rPr>
      </w:pPr>
      <w:r>
        <w:rPr>
          <w:rFonts w:hint="eastAsia" w:ascii="宋体" w:hAnsi="宋体"/>
          <w:bCs/>
        </w:rPr>
        <w:t>2、若我单位中标，除非贵单位要求，我方将不主动要求调整合同条款。否则，贵单位可以随时取消我单位的中标资格。</w:t>
      </w:r>
    </w:p>
    <w:p>
      <w:pPr>
        <w:spacing w:line="360" w:lineRule="auto"/>
        <w:ind w:firstLine="420" w:firstLineChars="200"/>
        <w:rPr>
          <w:rFonts w:ascii="宋体" w:hAnsi="宋体"/>
          <w:bCs/>
        </w:rPr>
      </w:pPr>
      <w:r>
        <w:rPr>
          <w:rFonts w:hint="eastAsia" w:ascii="宋体" w:hAnsi="宋体"/>
          <w:bCs/>
        </w:rPr>
        <w:t>3、我方的承诺书（若有），将作为合同的组成部分。</w:t>
      </w:r>
    </w:p>
    <w:p>
      <w:pPr>
        <w:spacing w:line="360" w:lineRule="auto"/>
        <w:ind w:firstLine="420" w:firstLineChars="200"/>
        <w:rPr>
          <w:rFonts w:ascii="宋体" w:hAnsi="宋体"/>
          <w:bCs/>
        </w:rPr>
      </w:pPr>
      <w:r>
        <w:rPr>
          <w:rFonts w:hint="eastAsia" w:ascii="宋体" w:hAnsi="宋体"/>
          <w:bCs/>
        </w:rPr>
        <w:t>4、若我单位没有中标，我单位将不要求贵方做任何解释。</w:t>
      </w:r>
    </w:p>
    <w:p>
      <w:pPr>
        <w:spacing w:line="360" w:lineRule="auto"/>
        <w:ind w:firstLine="420" w:firstLineChars="200"/>
        <w:rPr>
          <w:rFonts w:ascii="宋体" w:hAnsi="宋体"/>
          <w:bCs/>
        </w:rPr>
      </w:pPr>
      <w:r>
        <w:rPr>
          <w:rFonts w:hint="eastAsia" w:ascii="宋体" w:hAnsi="宋体"/>
          <w:bCs/>
        </w:rPr>
        <w:t>5、我单位理解贵单位不以最低投标价为中标价的唯一选择。</w:t>
      </w:r>
    </w:p>
    <w:p>
      <w:pPr>
        <w:spacing w:line="360" w:lineRule="auto"/>
        <w:ind w:firstLine="420" w:firstLineChars="200"/>
        <w:rPr>
          <w:rFonts w:ascii="宋体" w:hAnsi="宋体"/>
          <w:bCs/>
        </w:rPr>
      </w:pPr>
      <w:r>
        <w:rPr>
          <w:rFonts w:hint="eastAsia" w:ascii="宋体" w:hAnsi="宋体"/>
          <w:bCs/>
        </w:rPr>
        <w:t>6、若我单位中标，我单位同意本确认函及所有投标文件作为合同的组成部分，与合同具有同样的法律效力。</w:t>
      </w:r>
    </w:p>
    <w:p>
      <w:pPr>
        <w:spacing w:after="124" w:afterLines="40" w:line="360" w:lineRule="auto"/>
        <w:ind w:firstLine="420" w:firstLineChars="200"/>
        <w:rPr>
          <w:rFonts w:ascii="宋体" w:hAnsi="宋体"/>
          <w:bCs/>
        </w:rPr>
      </w:pPr>
      <w:r>
        <w:rPr>
          <w:rFonts w:hint="eastAsia" w:ascii="宋体" w:hAnsi="宋体"/>
          <w:bCs/>
        </w:rPr>
        <w:t>7、我司将严格按照具体供货合同的要求提供工程所需材料，在供货过程中出现的质量问题我司将及时调换合格材料进场，各类质量资料随货同行，并保证各类质量资料真实有效。</w:t>
      </w:r>
    </w:p>
    <w:p>
      <w:pPr>
        <w:spacing w:after="124" w:afterLines="40" w:line="360" w:lineRule="auto"/>
        <w:ind w:firstLine="420" w:firstLineChars="200"/>
        <w:rPr>
          <w:rFonts w:ascii="宋体" w:hAnsi="宋体"/>
          <w:bCs/>
        </w:rPr>
      </w:pPr>
      <w:r>
        <w:rPr>
          <w:rFonts w:hint="eastAsia" w:ascii="宋体" w:hAnsi="宋体"/>
          <w:bCs/>
        </w:rPr>
        <w:t>8、我司将以良好的服务态度、饱满的工作热情和遵纪守法的工作作风做好对项目部的服务，让贵司满意，让工程业主和监理满意。</w:t>
      </w:r>
    </w:p>
    <w:p>
      <w:pPr>
        <w:spacing w:after="124" w:afterLines="40" w:line="360" w:lineRule="auto"/>
        <w:ind w:firstLine="420" w:firstLineChars="200"/>
        <w:rPr>
          <w:rFonts w:ascii="宋体" w:hAnsi="宋体"/>
          <w:bCs/>
        </w:rPr>
      </w:pPr>
      <w:r>
        <w:rPr>
          <w:rFonts w:hint="eastAsia" w:ascii="宋体" w:hAnsi="宋体"/>
          <w:bCs/>
        </w:rPr>
        <w:t>9、我司郑重承诺：我司对招标文件的合同协议条款完全接受和遵守，一旦中标，将履行合同约定。</w:t>
      </w:r>
    </w:p>
    <w:p>
      <w:pPr>
        <w:spacing w:line="500" w:lineRule="exact"/>
        <w:ind w:firstLine="420" w:firstLineChars="200"/>
        <w:rPr>
          <w:rFonts w:ascii="宋体" w:hAnsi="宋体"/>
          <w:bCs/>
        </w:rPr>
      </w:pPr>
      <w:r>
        <w:rPr>
          <w:rFonts w:hint="eastAsia" w:ascii="宋体" w:hAnsi="宋体"/>
          <w:bCs/>
        </w:rPr>
        <w:t>投标单位：（盖章）</w:t>
      </w:r>
    </w:p>
    <w:p>
      <w:pPr>
        <w:spacing w:line="500" w:lineRule="exact"/>
        <w:ind w:firstLine="420" w:firstLineChars="200"/>
        <w:rPr>
          <w:rFonts w:ascii="宋体" w:hAnsi="宋体"/>
          <w:bCs/>
        </w:rPr>
      </w:pPr>
      <w:r>
        <w:rPr>
          <w:rFonts w:hint="eastAsia" w:ascii="宋体" w:hAnsi="宋体" w:cs="方正细圆简体"/>
        </w:rPr>
        <w:t>法定代表人或授权代表（签字）</w:t>
      </w:r>
      <w:r>
        <w:rPr>
          <w:rFonts w:hint="eastAsia" w:ascii="宋体" w:hAnsi="宋体"/>
          <w:bCs/>
        </w:rPr>
        <w:t>：</w:t>
      </w:r>
    </w:p>
    <w:p>
      <w:pPr>
        <w:spacing w:line="500" w:lineRule="exact"/>
        <w:ind w:firstLine="420" w:firstLineChars="200"/>
        <w:rPr>
          <w:rFonts w:ascii="宋体" w:hAnsi="宋体"/>
          <w:bCs/>
        </w:rPr>
      </w:pPr>
      <w:r>
        <w:rPr>
          <w:rFonts w:hint="eastAsia" w:ascii="宋体" w:hAnsi="宋体"/>
          <w:bCs/>
        </w:rPr>
        <w:t>日期</w:t>
      </w:r>
    </w:p>
    <w:p>
      <w:pPr>
        <w:spacing w:line="500" w:lineRule="exact"/>
        <w:ind w:firstLine="420" w:firstLineChars="200"/>
        <w:rPr>
          <w:rFonts w:ascii="宋体" w:hAnsi="宋体"/>
          <w:bCs/>
        </w:rPr>
      </w:pPr>
    </w:p>
    <w:p>
      <w:pPr>
        <w:spacing w:line="500" w:lineRule="exact"/>
        <w:ind w:firstLine="420" w:firstLineChars="200"/>
        <w:rPr>
          <w:rFonts w:ascii="宋体" w:hAnsi="宋体"/>
          <w:bCs/>
        </w:rPr>
      </w:pPr>
    </w:p>
    <w:p>
      <w:pPr>
        <w:spacing w:line="500" w:lineRule="exact"/>
        <w:ind w:firstLine="420" w:firstLineChars="200"/>
        <w:rPr>
          <w:rFonts w:ascii="宋体" w:hAnsi="宋体"/>
          <w:bCs/>
        </w:rPr>
      </w:pPr>
    </w:p>
    <w:p>
      <w:pPr>
        <w:pStyle w:val="3"/>
        <w:ind w:firstLine="602" w:firstLineChars="200"/>
        <w:jc w:val="center"/>
        <w:rPr>
          <w:rFonts w:ascii="仿宋" w:hAnsi="仿宋" w:eastAsia="仿宋"/>
          <w:sz w:val="30"/>
          <w:szCs w:val="30"/>
        </w:rPr>
      </w:pPr>
      <w:bookmarkStart w:id="243" w:name="_Toc9897"/>
      <w:bookmarkStart w:id="244" w:name="_Toc24826"/>
      <w:bookmarkStart w:id="245" w:name="_Toc11062"/>
      <w:bookmarkStart w:id="246" w:name="_Toc19146"/>
      <w:bookmarkStart w:id="247" w:name="_Toc24116"/>
      <w:bookmarkStart w:id="248" w:name="_Toc7346"/>
      <w:r>
        <w:rPr>
          <w:rFonts w:hint="eastAsia" w:ascii="仿宋" w:hAnsi="仿宋" w:eastAsia="仿宋"/>
          <w:sz w:val="30"/>
          <w:szCs w:val="30"/>
        </w:rPr>
        <w:t>六、投标保证金（如有）</w:t>
      </w:r>
      <w:bookmarkEnd w:id="243"/>
      <w:bookmarkEnd w:id="244"/>
      <w:bookmarkEnd w:id="245"/>
      <w:bookmarkEnd w:id="246"/>
      <w:bookmarkEnd w:id="247"/>
      <w:bookmarkEnd w:id="248"/>
    </w:p>
    <w:p>
      <w:pPr>
        <w:spacing w:line="360" w:lineRule="auto"/>
        <w:ind w:left="420" w:firstLine="420" w:firstLineChars="200"/>
        <w:rPr>
          <w:rFonts w:ascii="宋体"/>
        </w:rPr>
      </w:pPr>
      <w:r>
        <w:rPr>
          <w:rFonts w:hint="eastAsia" w:ascii="宋体" w:cs="宋体"/>
        </w:rPr>
        <w:t>致：</w:t>
      </w:r>
      <w:r>
        <w:rPr>
          <w:rFonts w:hint="eastAsia" w:ascii="方正细圆简体" w:hAnsi="宋体" w:eastAsia="方正细圆简体" w:cs="方正细圆简体"/>
          <w:u w:val="single"/>
        </w:rPr>
        <w:t>中国建筑一局（集团）有限公司</w:t>
      </w:r>
      <w:r>
        <w:rPr>
          <w:rFonts w:hint="eastAsia" w:ascii="宋体" w:cs="宋体"/>
        </w:rPr>
        <w:t>（招标人名称）</w:t>
      </w:r>
    </w:p>
    <w:p>
      <w:pPr>
        <w:spacing w:line="360" w:lineRule="auto"/>
        <w:ind w:left="420" w:firstLine="420" w:firstLineChars="200"/>
        <w:rPr>
          <w:rFonts w:ascii="宋体"/>
        </w:rPr>
      </w:pPr>
      <w:r>
        <w:rPr>
          <w:rFonts w:hint="eastAsia" w:ascii="宋体" w:cs="宋体"/>
        </w:rPr>
        <w:t>在本次投标活动中，我公司愿提供投标保证金并做出以下承诺：</w:t>
      </w:r>
    </w:p>
    <w:p>
      <w:pPr>
        <w:numPr>
          <w:ilvl w:val="1"/>
          <w:numId w:val="8"/>
        </w:numPr>
        <w:spacing w:line="360" w:lineRule="auto"/>
        <w:ind w:firstLine="420" w:firstLineChars="200"/>
        <w:rPr>
          <w:rFonts w:ascii="宋体"/>
        </w:rPr>
      </w:pPr>
      <w:r>
        <w:rPr>
          <w:rFonts w:hint="eastAsia" w:ascii="宋体" w:cs="宋体"/>
        </w:rPr>
        <w:t>保证金额（人民币大写）</w:t>
      </w:r>
      <w:r>
        <w:rPr>
          <w:rFonts w:hint="eastAsia" w:ascii="宋体" w:cs="宋体"/>
          <w:u w:val="single"/>
        </w:rPr>
        <w:t>无</w:t>
      </w:r>
      <w:r>
        <w:rPr>
          <w:rFonts w:hint="eastAsia" w:ascii="宋体" w:cs="宋体"/>
        </w:rPr>
        <w:t>。</w:t>
      </w:r>
    </w:p>
    <w:p>
      <w:pPr>
        <w:numPr>
          <w:ilvl w:val="1"/>
          <w:numId w:val="8"/>
        </w:numPr>
        <w:spacing w:line="360" w:lineRule="auto"/>
        <w:ind w:firstLine="420" w:firstLineChars="200"/>
        <w:rPr>
          <w:rFonts w:ascii="宋体"/>
        </w:rPr>
      </w:pPr>
      <w:r>
        <w:rPr>
          <w:rFonts w:hint="eastAsia" w:ascii="宋体" w:cs="宋体"/>
        </w:rPr>
        <w:t>在投标有效期内，我公司做出下列事实中的任何一项时，投标保证金将被贵方没收：</w:t>
      </w:r>
    </w:p>
    <w:p>
      <w:pPr>
        <w:spacing w:line="360" w:lineRule="auto"/>
        <w:ind w:left="900" w:firstLine="420" w:firstLineChars="200"/>
        <w:rPr>
          <w:rFonts w:ascii="宋体"/>
        </w:rPr>
      </w:pPr>
      <w:r>
        <w:rPr>
          <w:rFonts w:hint="eastAsia" w:ascii="宋体" w:cs="宋体"/>
        </w:rPr>
        <w:t>a．投标人在领取招标文件后以各种理由拒绝投标；</w:t>
      </w:r>
    </w:p>
    <w:p>
      <w:pPr>
        <w:spacing w:line="360" w:lineRule="auto"/>
        <w:ind w:left="900" w:firstLine="420" w:firstLineChars="200"/>
        <w:rPr>
          <w:rFonts w:ascii="宋体"/>
        </w:rPr>
      </w:pPr>
      <w:r>
        <w:rPr>
          <w:rFonts w:hint="eastAsia" w:ascii="宋体" w:cs="宋体"/>
        </w:rPr>
        <w:t>b．投标人在投标有效期内撤销投标；</w:t>
      </w:r>
    </w:p>
    <w:p>
      <w:pPr>
        <w:spacing w:line="360" w:lineRule="auto"/>
        <w:ind w:left="900" w:firstLine="420" w:firstLineChars="200"/>
        <w:rPr>
          <w:rFonts w:ascii="宋体"/>
        </w:rPr>
      </w:pPr>
      <w:r>
        <w:rPr>
          <w:rFonts w:hint="eastAsia" w:ascii="宋体" w:cs="宋体"/>
        </w:rPr>
        <w:t>c．投标人在收到中标通知后，未能按中标通知书规定的时间、地点与投标人签订合同；</w:t>
      </w:r>
    </w:p>
    <w:p>
      <w:pPr>
        <w:spacing w:before="156" w:beforeLines="50" w:line="360" w:lineRule="auto"/>
        <w:ind w:left="420" w:leftChars="200" w:firstLine="420" w:firstLineChars="200"/>
        <w:rPr>
          <w:rFonts w:ascii="宋体"/>
        </w:rPr>
      </w:pPr>
      <w:r>
        <w:rPr>
          <w:rFonts w:hint="eastAsia" w:ascii="宋体" w:cs="宋体"/>
        </w:rPr>
        <w:t>法定代表人（签字）：</w:t>
      </w:r>
    </w:p>
    <w:p>
      <w:pPr>
        <w:spacing w:before="156" w:beforeLines="50" w:line="360" w:lineRule="auto"/>
        <w:ind w:left="420" w:leftChars="200" w:firstLine="420" w:firstLineChars="200"/>
        <w:rPr>
          <w:rFonts w:ascii="宋体"/>
        </w:rPr>
      </w:pPr>
      <w:r>
        <w:rPr>
          <w:rFonts w:hint="eastAsia" w:ascii="宋体" w:cs="宋体"/>
        </w:rPr>
        <w:t>投标人（公章）：</w:t>
      </w:r>
    </w:p>
    <w:p>
      <w:pPr>
        <w:spacing w:before="156" w:beforeLines="50" w:line="360" w:lineRule="auto"/>
        <w:ind w:left="420" w:leftChars="200" w:firstLine="420" w:firstLineChars="200"/>
        <w:rPr>
          <w:rFonts w:ascii="宋体" w:cs="宋体"/>
        </w:rPr>
      </w:pPr>
      <w:r>
        <w:rPr>
          <w:rFonts w:hint="eastAsia" w:ascii="宋体" w:cs="宋体"/>
        </w:rPr>
        <w:t>日期：</w:t>
      </w:r>
    </w:p>
    <w:p>
      <w:pPr>
        <w:spacing w:before="156" w:beforeLines="50" w:line="360" w:lineRule="auto"/>
        <w:ind w:left="420" w:leftChars="200" w:firstLine="420" w:firstLineChars="200"/>
        <w:rPr>
          <w:rFonts w:ascii="宋体" w:cs="宋体"/>
        </w:rPr>
      </w:pPr>
    </w:p>
    <w:p>
      <w:pPr>
        <w:spacing w:before="156" w:beforeLines="50" w:line="360" w:lineRule="auto"/>
        <w:ind w:left="420" w:leftChars="200" w:firstLine="420" w:firstLineChars="200"/>
        <w:rPr>
          <w:rFonts w:ascii="宋体" w:cs="宋体"/>
        </w:rPr>
      </w:pPr>
    </w:p>
    <w:p>
      <w:pPr>
        <w:spacing w:before="156" w:beforeLines="50" w:line="360" w:lineRule="auto"/>
        <w:ind w:left="420" w:leftChars="200" w:firstLine="420" w:firstLineChars="200"/>
        <w:rPr>
          <w:rFonts w:ascii="宋体" w:cs="宋体"/>
        </w:rPr>
      </w:pPr>
    </w:p>
    <w:p>
      <w:pPr>
        <w:spacing w:before="156" w:beforeLines="50" w:line="360" w:lineRule="auto"/>
        <w:ind w:left="420" w:leftChars="200" w:firstLine="420" w:firstLineChars="200"/>
        <w:rPr>
          <w:rFonts w:ascii="宋体" w:cs="宋体"/>
        </w:rPr>
      </w:pPr>
    </w:p>
    <w:p>
      <w:pPr>
        <w:spacing w:before="156" w:beforeLines="50" w:line="360" w:lineRule="auto"/>
        <w:ind w:left="420" w:leftChars="200" w:firstLine="420" w:firstLineChars="200"/>
        <w:rPr>
          <w:rFonts w:ascii="宋体" w:cs="宋体"/>
        </w:rPr>
      </w:pPr>
    </w:p>
    <w:p>
      <w:pPr>
        <w:spacing w:before="156" w:beforeLines="50" w:line="360" w:lineRule="auto"/>
        <w:ind w:left="420" w:leftChars="200" w:firstLine="420" w:firstLineChars="200"/>
        <w:rPr>
          <w:rFonts w:ascii="宋体" w:cs="宋体"/>
        </w:rPr>
      </w:pPr>
    </w:p>
    <w:p>
      <w:pPr>
        <w:spacing w:before="156" w:beforeLines="50" w:line="360" w:lineRule="auto"/>
        <w:ind w:left="420" w:leftChars="200" w:firstLine="420" w:firstLineChars="200"/>
        <w:rPr>
          <w:rFonts w:ascii="宋体" w:cs="宋体"/>
        </w:rPr>
      </w:pPr>
    </w:p>
    <w:p>
      <w:pPr>
        <w:spacing w:before="156" w:beforeLines="50" w:line="360" w:lineRule="auto"/>
        <w:ind w:left="420" w:leftChars="200" w:firstLine="420" w:firstLineChars="200"/>
        <w:rPr>
          <w:rFonts w:ascii="宋体" w:cs="宋体"/>
        </w:rPr>
      </w:pPr>
    </w:p>
    <w:p>
      <w:pPr>
        <w:spacing w:before="156" w:beforeLines="50" w:line="360" w:lineRule="auto"/>
        <w:ind w:left="420" w:leftChars="200" w:firstLine="420" w:firstLineChars="200"/>
        <w:rPr>
          <w:rFonts w:ascii="宋体" w:cs="宋体"/>
        </w:rPr>
      </w:pPr>
    </w:p>
    <w:p>
      <w:pPr>
        <w:spacing w:before="156" w:beforeLines="50" w:line="360" w:lineRule="auto"/>
        <w:ind w:left="420" w:leftChars="200" w:firstLine="420" w:firstLineChars="200"/>
        <w:rPr>
          <w:rFonts w:ascii="宋体" w:cs="宋体"/>
        </w:rPr>
      </w:pPr>
    </w:p>
    <w:p>
      <w:pPr>
        <w:spacing w:before="156" w:beforeLines="50" w:line="360" w:lineRule="auto"/>
        <w:ind w:left="420" w:leftChars="200" w:firstLine="420" w:firstLineChars="200"/>
        <w:rPr>
          <w:rFonts w:ascii="宋体" w:cs="宋体"/>
        </w:rPr>
      </w:pPr>
    </w:p>
    <w:p>
      <w:pPr>
        <w:spacing w:before="156" w:beforeLines="50" w:line="360" w:lineRule="auto"/>
        <w:ind w:left="420" w:leftChars="200" w:firstLine="420" w:firstLineChars="200"/>
        <w:rPr>
          <w:rFonts w:ascii="宋体" w:cs="宋体"/>
        </w:rPr>
      </w:pPr>
    </w:p>
    <w:p>
      <w:pPr>
        <w:spacing w:line="240" w:lineRule="atLeast"/>
        <w:rPr>
          <w:rFonts w:ascii="宋体" w:cs="宋体"/>
          <w:b/>
          <w:bCs/>
        </w:rPr>
        <w:sectPr>
          <w:footerReference r:id="rId11" w:type="default"/>
          <w:pgSz w:w="11906" w:h="16838"/>
          <w:pgMar w:top="1440" w:right="1123" w:bottom="1440" w:left="1123" w:header="851" w:footer="992" w:gutter="0"/>
          <w:cols w:space="720" w:num="1"/>
          <w:docGrid w:type="lines" w:linePitch="312" w:charSpace="0"/>
        </w:sectPr>
      </w:pPr>
      <w:bookmarkStart w:id="249" w:name="_Toc9177"/>
    </w:p>
    <w:bookmarkEnd w:id="249"/>
    <w:p>
      <w:pPr>
        <w:snapToGrid w:val="0"/>
        <w:spacing w:before="120" w:beforeLines="50" w:after="120" w:afterLines="50" w:line="440" w:lineRule="exact"/>
        <w:ind w:firstLine="3915" w:firstLineChars="1300"/>
        <w:outlineLvl w:val="0"/>
        <w:rPr>
          <w:rFonts w:ascii="Arial Unicode MS" w:hAnsi="Arial Unicode MS" w:cs="Arial Unicode MS"/>
          <w:b/>
          <w:bCs/>
          <w:sz w:val="30"/>
          <w:szCs w:val="30"/>
        </w:rPr>
      </w:pPr>
      <w:bookmarkStart w:id="250" w:name="_Toc10163"/>
      <w:bookmarkStart w:id="251" w:name="_Toc29619"/>
      <w:bookmarkStart w:id="252" w:name="_Toc21555"/>
      <w:bookmarkStart w:id="253" w:name="_Toc24850"/>
      <w:bookmarkStart w:id="254" w:name="_Toc9309"/>
      <w:bookmarkStart w:id="255" w:name="_Toc5178"/>
      <w:bookmarkStart w:id="256" w:name="_Toc6457"/>
      <w:r>
        <w:rPr>
          <w:rFonts w:hint="eastAsia" w:ascii="宋体" w:hAnsi="宋体" w:cs="宋体"/>
          <w:b/>
          <w:bCs/>
          <w:sz w:val="30"/>
          <w:szCs w:val="30"/>
        </w:rPr>
        <w:t>主要工程业绩清单</w:t>
      </w:r>
      <w:bookmarkEnd w:id="250"/>
      <w:bookmarkEnd w:id="251"/>
      <w:bookmarkEnd w:id="252"/>
      <w:bookmarkEnd w:id="253"/>
      <w:bookmarkEnd w:id="254"/>
      <w:bookmarkEnd w:id="255"/>
      <w:bookmarkEnd w:id="256"/>
    </w:p>
    <w:tbl>
      <w:tblPr>
        <w:tblStyle w:val="24"/>
        <w:tblW w:w="841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69"/>
        <w:gridCol w:w="2243"/>
        <w:gridCol w:w="1329"/>
        <w:gridCol w:w="893"/>
        <w:gridCol w:w="1012"/>
        <w:gridCol w:w="972"/>
        <w:gridCol w:w="10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869" w:type="dxa"/>
            <w:vAlign w:val="center"/>
          </w:tcPr>
          <w:p>
            <w:pPr>
              <w:overflowPunct w:val="0"/>
              <w:topLinePunct/>
              <w:snapToGrid w:val="0"/>
              <w:spacing w:before="120" w:beforeLines="50" w:after="120" w:afterLines="50" w:line="440" w:lineRule="exact"/>
              <w:jc w:val="center"/>
              <w:rPr>
                <w:rFonts w:ascii="Arial Unicode MS" w:hAnsi="Arial Unicode MS" w:eastAsia="Times New Roman"/>
              </w:rPr>
            </w:pPr>
            <w:r>
              <w:rPr>
                <w:rFonts w:hint="eastAsia" w:ascii="宋体" w:hAnsi="宋体" w:cs="宋体"/>
              </w:rPr>
              <w:t>序号</w:t>
            </w:r>
          </w:p>
        </w:tc>
        <w:tc>
          <w:tcPr>
            <w:tcW w:w="2243" w:type="dxa"/>
            <w:vAlign w:val="center"/>
          </w:tcPr>
          <w:p>
            <w:pPr>
              <w:overflowPunct w:val="0"/>
              <w:topLinePunct/>
              <w:snapToGrid w:val="0"/>
              <w:spacing w:before="120" w:beforeLines="50" w:after="120" w:afterLines="50" w:line="440" w:lineRule="exact"/>
              <w:jc w:val="center"/>
              <w:rPr>
                <w:rFonts w:ascii="Arial Unicode MS" w:hAnsi="Arial Unicode MS" w:eastAsia="Times New Roman"/>
              </w:rPr>
            </w:pPr>
            <w:r>
              <w:rPr>
                <w:rFonts w:hint="eastAsia" w:ascii="宋体" w:hAnsi="宋体" w:cs="宋体"/>
              </w:rPr>
              <w:t>客户（工程）名称</w:t>
            </w:r>
          </w:p>
        </w:tc>
        <w:tc>
          <w:tcPr>
            <w:tcW w:w="1329" w:type="dxa"/>
            <w:vAlign w:val="center"/>
          </w:tcPr>
          <w:p>
            <w:pPr>
              <w:overflowPunct w:val="0"/>
              <w:topLinePunct/>
              <w:snapToGrid w:val="0"/>
              <w:spacing w:before="120" w:beforeLines="50" w:after="120" w:afterLines="50" w:line="440" w:lineRule="exact"/>
              <w:jc w:val="center"/>
              <w:rPr>
                <w:rFonts w:ascii="Arial Unicode MS" w:hAnsi="Arial Unicode MS" w:eastAsia="Times New Roman"/>
              </w:rPr>
            </w:pPr>
            <w:r>
              <w:rPr>
                <w:rFonts w:hint="eastAsia" w:ascii="宋体" w:hAnsi="宋体" w:cs="宋体"/>
              </w:rPr>
              <w:t>地址</w:t>
            </w:r>
          </w:p>
        </w:tc>
        <w:tc>
          <w:tcPr>
            <w:tcW w:w="893" w:type="dxa"/>
            <w:vAlign w:val="center"/>
          </w:tcPr>
          <w:p>
            <w:pPr>
              <w:overflowPunct w:val="0"/>
              <w:topLinePunct/>
              <w:snapToGrid w:val="0"/>
              <w:spacing w:before="120" w:beforeLines="50" w:after="120" w:afterLines="50" w:line="440" w:lineRule="exact"/>
              <w:jc w:val="center"/>
              <w:rPr>
                <w:rFonts w:ascii="Arial Unicode MS" w:hAnsi="Arial Unicode MS" w:eastAsia="Times New Roman"/>
              </w:rPr>
            </w:pPr>
            <w:r>
              <w:rPr>
                <w:rFonts w:hint="eastAsia" w:ascii="宋体" w:hAnsi="宋体" w:cs="宋体"/>
              </w:rPr>
              <w:t>联系人</w:t>
            </w:r>
          </w:p>
        </w:tc>
        <w:tc>
          <w:tcPr>
            <w:tcW w:w="1012" w:type="dxa"/>
            <w:vAlign w:val="center"/>
          </w:tcPr>
          <w:p>
            <w:pPr>
              <w:overflowPunct w:val="0"/>
              <w:topLinePunct/>
              <w:snapToGrid w:val="0"/>
              <w:spacing w:before="120" w:beforeLines="50" w:after="120" w:afterLines="50" w:line="440" w:lineRule="exact"/>
              <w:jc w:val="center"/>
              <w:rPr>
                <w:rFonts w:ascii="Arial Unicode MS" w:hAnsi="Arial Unicode MS" w:eastAsia="Times New Roman"/>
              </w:rPr>
            </w:pPr>
            <w:r>
              <w:rPr>
                <w:rFonts w:hint="eastAsia" w:ascii="宋体" w:hAnsi="宋体" w:cs="宋体"/>
              </w:rPr>
              <w:t>联系电话</w:t>
            </w:r>
          </w:p>
        </w:tc>
        <w:tc>
          <w:tcPr>
            <w:tcW w:w="972" w:type="dxa"/>
            <w:vAlign w:val="center"/>
          </w:tcPr>
          <w:p>
            <w:pPr>
              <w:overflowPunct w:val="0"/>
              <w:topLinePunct/>
              <w:snapToGrid w:val="0"/>
              <w:spacing w:before="120" w:beforeLines="50" w:after="120" w:afterLines="50" w:line="440" w:lineRule="exact"/>
              <w:jc w:val="center"/>
              <w:rPr>
                <w:rFonts w:ascii="Arial Unicode MS" w:hAnsi="Arial Unicode MS" w:eastAsia="Times New Roman"/>
              </w:rPr>
            </w:pPr>
            <w:r>
              <w:rPr>
                <w:rFonts w:hint="eastAsia" w:ascii="宋体" w:hAnsi="宋体" w:cs="宋体"/>
              </w:rPr>
              <w:t>合同签订日期</w:t>
            </w:r>
          </w:p>
        </w:tc>
        <w:tc>
          <w:tcPr>
            <w:tcW w:w="1098" w:type="dxa"/>
            <w:vAlign w:val="center"/>
          </w:tcPr>
          <w:p>
            <w:pPr>
              <w:overflowPunct w:val="0"/>
              <w:topLinePunct/>
              <w:snapToGrid w:val="0"/>
              <w:spacing w:before="120" w:beforeLines="50" w:after="120" w:afterLines="50" w:line="440" w:lineRule="exact"/>
              <w:jc w:val="center"/>
              <w:rPr>
                <w:rFonts w:ascii="Arial Unicode MS" w:hAnsi="Arial Unicode MS" w:eastAsia="Times New Roman"/>
              </w:rPr>
            </w:pPr>
            <w:r>
              <w:rPr>
                <w:rFonts w:hint="eastAsia" w:ascii="宋体" w:hAnsi="宋体" w:cs="宋体"/>
              </w:rPr>
              <w:t>合同金额</w:t>
            </w:r>
            <w:r>
              <w:rPr>
                <w:rFonts w:ascii="Arial Unicode MS" w:hAnsi="Arial Unicode MS" w:eastAsia="Times New Roman"/>
              </w:rPr>
              <w:t>(</w:t>
            </w:r>
            <w:r>
              <w:rPr>
                <w:rFonts w:hint="eastAsia" w:ascii="宋体" w:hAnsi="宋体" w:cs="宋体"/>
              </w:rPr>
              <w:t>万元</w:t>
            </w:r>
            <w:r>
              <w:rPr>
                <w:rFonts w:ascii="Arial Unicode MS" w:hAnsi="Arial Unicode MS" w:eastAsia="Times New Roma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869" w:type="dxa"/>
          </w:tcPr>
          <w:p>
            <w:pPr>
              <w:overflowPunct w:val="0"/>
              <w:topLinePunct/>
              <w:snapToGrid w:val="0"/>
              <w:spacing w:before="120" w:beforeLines="50" w:after="120" w:afterLines="50" w:line="440" w:lineRule="exact"/>
              <w:rPr>
                <w:rFonts w:ascii="Arial Unicode MS" w:hAnsi="Arial Unicode MS" w:eastAsia="Times New Roman"/>
              </w:rPr>
            </w:pPr>
          </w:p>
        </w:tc>
        <w:tc>
          <w:tcPr>
            <w:tcW w:w="224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329" w:type="dxa"/>
          </w:tcPr>
          <w:p>
            <w:pPr>
              <w:overflowPunct w:val="0"/>
              <w:topLinePunct/>
              <w:snapToGrid w:val="0"/>
              <w:spacing w:before="120" w:beforeLines="50" w:after="120" w:afterLines="50" w:line="440" w:lineRule="exact"/>
              <w:rPr>
                <w:rFonts w:ascii="Arial Unicode MS" w:hAnsi="Arial Unicode MS" w:eastAsia="Times New Roman"/>
              </w:rPr>
            </w:pPr>
          </w:p>
        </w:tc>
        <w:tc>
          <w:tcPr>
            <w:tcW w:w="89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12" w:type="dxa"/>
          </w:tcPr>
          <w:p>
            <w:pPr>
              <w:overflowPunct w:val="0"/>
              <w:topLinePunct/>
              <w:snapToGrid w:val="0"/>
              <w:spacing w:before="120" w:beforeLines="50" w:after="120" w:afterLines="50" w:line="440" w:lineRule="exact"/>
              <w:rPr>
                <w:rFonts w:ascii="Arial Unicode MS" w:hAnsi="Arial Unicode MS" w:eastAsia="Times New Roman"/>
              </w:rPr>
            </w:pPr>
          </w:p>
        </w:tc>
        <w:tc>
          <w:tcPr>
            <w:tcW w:w="972"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98" w:type="dxa"/>
          </w:tcPr>
          <w:p>
            <w:pPr>
              <w:overflowPunct w:val="0"/>
              <w:topLinePunct/>
              <w:snapToGrid w:val="0"/>
              <w:spacing w:before="120" w:beforeLines="50" w:after="120" w:afterLines="50" w:line="440" w:lineRule="exact"/>
              <w:rPr>
                <w:rFonts w:ascii="Arial Unicode MS" w:hAnsi="Arial Unicode MS" w:eastAsia="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869" w:type="dxa"/>
          </w:tcPr>
          <w:p>
            <w:pPr>
              <w:overflowPunct w:val="0"/>
              <w:topLinePunct/>
              <w:snapToGrid w:val="0"/>
              <w:spacing w:before="120" w:beforeLines="50" w:after="120" w:afterLines="50" w:line="440" w:lineRule="exact"/>
              <w:rPr>
                <w:rFonts w:ascii="Arial Unicode MS" w:hAnsi="Arial Unicode MS" w:eastAsia="Times New Roman"/>
              </w:rPr>
            </w:pPr>
          </w:p>
        </w:tc>
        <w:tc>
          <w:tcPr>
            <w:tcW w:w="224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329" w:type="dxa"/>
          </w:tcPr>
          <w:p>
            <w:pPr>
              <w:overflowPunct w:val="0"/>
              <w:topLinePunct/>
              <w:snapToGrid w:val="0"/>
              <w:spacing w:before="120" w:beforeLines="50" w:after="120" w:afterLines="50" w:line="440" w:lineRule="exact"/>
              <w:rPr>
                <w:rFonts w:ascii="Arial Unicode MS" w:hAnsi="Arial Unicode MS" w:eastAsia="Times New Roman"/>
              </w:rPr>
            </w:pPr>
          </w:p>
        </w:tc>
        <w:tc>
          <w:tcPr>
            <w:tcW w:w="89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12" w:type="dxa"/>
          </w:tcPr>
          <w:p>
            <w:pPr>
              <w:overflowPunct w:val="0"/>
              <w:topLinePunct/>
              <w:snapToGrid w:val="0"/>
              <w:spacing w:before="120" w:beforeLines="50" w:after="120" w:afterLines="50" w:line="440" w:lineRule="exact"/>
              <w:rPr>
                <w:rFonts w:ascii="Arial Unicode MS" w:hAnsi="Arial Unicode MS" w:eastAsia="Times New Roman"/>
              </w:rPr>
            </w:pPr>
          </w:p>
        </w:tc>
        <w:tc>
          <w:tcPr>
            <w:tcW w:w="972"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98" w:type="dxa"/>
          </w:tcPr>
          <w:p>
            <w:pPr>
              <w:overflowPunct w:val="0"/>
              <w:topLinePunct/>
              <w:snapToGrid w:val="0"/>
              <w:spacing w:before="120" w:beforeLines="50" w:after="120" w:afterLines="50" w:line="440" w:lineRule="exact"/>
              <w:rPr>
                <w:rFonts w:ascii="Arial Unicode MS" w:hAnsi="Arial Unicode MS" w:eastAsia="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869" w:type="dxa"/>
          </w:tcPr>
          <w:p>
            <w:pPr>
              <w:overflowPunct w:val="0"/>
              <w:topLinePunct/>
              <w:snapToGrid w:val="0"/>
              <w:spacing w:before="120" w:beforeLines="50" w:after="120" w:afterLines="50" w:line="440" w:lineRule="exact"/>
              <w:rPr>
                <w:rFonts w:ascii="Arial Unicode MS" w:hAnsi="Arial Unicode MS" w:eastAsia="Times New Roman"/>
              </w:rPr>
            </w:pPr>
          </w:p>
        </w:tc>
        <w:tc>
          <w:tcPr>
            <w:tcW w:w="224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329" w:type="dxa"/>
          </w:tcPr>
          <w:p>
            <w:pPr>
              <w:overflowPunct w:val="0"/>
              <w:topLinePunct/>
              <w:snapToGrid w:val="0"/>
              <w:spacing w:before="120" w:beforeLines="50" w:after="120" w:afterLines="50" w:line="440" w:lineRule="exact"/>
              <w:rPr>
                <w:rFonts w:ascii="Arial Unicode MS" w:hAnsi="Arial Unicode MS" w:eastAsia="Times New Roman"/>
              </w:rPr>
            </w:pPr>
          </w:p>
        </w:tc>
        <w:tc>
          <w:tcPr>
            <w:tcW w:w="89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12" w:type="dxa"/>
          </w:tcPr>
          <w:p>
            <w:pPr>
              <w:overflowPunct w:val="0"/>
              <w:topLinePunct/>
              <w:snapToGrid w:val="0"/>
              <w:spacing w:before="120" w:beforeLines="50" w:after="120" w:afterLines="50" w:line="440" w:lineRule="exact"/>
              <w:rPr>
                <w:rFonts w:ascii="Arial Unicode MS" w:hAnsi="Arial Unicode MS" w:eastAsia="Times New Roman"/>
              </w:rPr>
            </w:pPr>
          </w:p>
        </w:tc>
        <w:tc>
          <w:tcPr>
            <w:tcW w:w="972"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98" w:type="dxa"/>
          </w:tcPr>
          <w:p>
            <w:pPr>
              <w:overflowPunct w:val="0"/>
              <w:topLinePunct/>
              <w:snapToGrid w:val="0"/>
              <w:spacing w:before="120" w:beforeLines="50" w:after="120" w:afterLines="50" w:line="440" w:lineRule="exact"/>
              <w:rPr>
                <w:rFonts w:ascii="Arial Unicode MS" w:hAnsi="Arial Unicode MS" w:eastAsia="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869" w:type="dxa"/>
          </w:tcPr>
          <w:p>
            <w:pPr>
              <w:overflowPunct w:val="0"/>
              <w:topLinePunct/>
              <w:snapToGrid w:val="0"/>
              <w:spacing w:before="120" w:beforeLines="50" w:after="120" w:afterLines="50" w:line="440" w:lineRule="exact"/>
              <w:rPr>
                <w:rFonts w:ascii="Arial Unicode MS" w:hAnsi="Arial Unicode MS" w:eastAsia="Times New Roman"/>
              </w:rPr>
            </w:pPr>
          </w:p>
        </w:tc>
        <w:tc>
          <w:tcPr>
            <w:tcW w:w="224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329" w:type="dxa"/>
          </w:tcPr>
          <w:p>
            <w:pPr>
              <w:overflowPunct w:val="0"/>
              <w:topLinePunct/>
              <w:snapToGrid w:val="0"/>
              <w:spacing w:before="120" w:beforeLines="50" w:after="120" w:afterLines="50" w:line="440" w:lineRule="exact"/>
              <w:rPr>
                <w:rFonts w:ascii="Arial Unicode MS" w:hAnsi="Arial Unicode MS" w:eastAsia="Times New Roman"/>
              </w:rPr>
            </w:pPr>
          </w:p>
        </w:tc>
        <w:tc>
          <w:tcPr>
            <w:tcW w:w="89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12" w:type="dxa"/>
          </w:tcPr>
          <w:p>
            <w:pPr>
              <w:overflowPunct w:val="0"/>
              <w:topLinePunct/>
              <w:snapToGrid w:val="0"/>
              <w:spacing w:before="120" w:beforeLines="50" w:after="120" w:afterLines="50" w:line="440" w:lineRule="exact"/>
              <w:rPr>
                <w:rFonts w:ascii="Arial Unicode MS" w:hAnsi="Arial Unicode MS" w:eastAsia="Times New Roman"/>
              </w:rPr>
            </w:pPr>
          </w:p>
        </w:tc>
        <w:tc>
          <w:tcPr>
            <w:tcW w:w="972"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98" w:type="dxa"/>
          </w:tcPr>
          <w:p>
            <w:pPr>
              <w:overflowPunct w:val="0"/>
              <w:topLinePunct/>
              <w:snapToGrid w:val="0"/>
              <w:spacing w:before="120" w:beforeLines="50" w:after="120" w:afterLines="50" w:line="440" w:lineRule="exact"/>
              <w:rPr>
                <w:rFonts w:ascii="Arial Unicode MS" w:hAnsi="Arial Unicode MS" w:eastAsia="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869" w:type="dxa"/>
          </w:tcPr>
          <w:p>
            <w:pPr>
              <w:overflowPunct w:val="0"/>
              <w:topLinePunct/>
              <w:snapToGrid w:val="0"/>
              <w:spacing w:before="120" w:beforeLines="50" w:after="120" w:afterLines="50" w:line="440" w:lineRule="exact"/>
              <w:rPr>
                <w:rFonts w:ascii="Arial Unicode MS" w:hAnsi="Arial Unicode MS" w:eastAsia="Times New Roman"/>
              </w:rPr>
            </w:pPr>
          </w:p>
        </w:tc>
        <w:tc>
          <w:tcPr>
            <w:tcW w:w="224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329" w:type="dxa"/>
          </w:tcPr>
          <w:p>
            <w:pPr>
              <w:overflowPunct w:val="0"/>
              <w:topLinePunct/>
              <w:snapToGrid w:val="0"/>
              <w:spacing w:before="120" w:beforeLines="50" w:after="120" w:afterLines="50" w:line="440" w:lineRule="exact"/>
              <w:rPr>
                <w:rFonts w:ascii="Arial Unicode MS" w:hAnsi="Arial Unicode MS" w:eastAsia="Times New Roman"/>
              </w:rPr>
            </w:pPr>
          </w:p>
        </w:tc>
        <w:tc>
          <w:tcPr>
            <w:tcW w:w="89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12" w:type="dxa"/>
          </w:tcPr>
          <w:p>
            <w:pPr>
              <w:overflowPunct w:val="0"/>
              <w:topLinePunct/>
              <w:snapToGrid w:val="0"/>
              <w:spacing w:before="120" w:beforeLines="50" w:after="120" w:afterLines="50" w:line="440" w:lineRule="exact"/>
              <w:rPr>
                <w:rFonts w:ascii="Arial Unicode MS" w:hAnsi="Arial Unicode MS" w:eastAsia="Times New Roman"/>
              </w:rPr>
            </w:pPr>
          </w:p>
        </w:tc>
        <w:tc>
          <w:tcPr>
            <w:tcW w:w="972"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98" w:type="dxa"/>
          </w:tcPr>
          <w:p>
            <w:pPr>
              <w:overflowPunct w:val="0"/>
              <w:topLinePunct/>
              <w:snapToGrid w:val="0"/>
              <w:spacing w:before="120" w:beforeLines="50" w:after="120" w:afterLines="50" w:line="440" w:lineRule="exact"/>
              <w:rPr>
                <w:rFonts w:ascii="Arial Unicode MS" w:hAnsi="Arial Unicode MS" w:eastAsia="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869" w:type="dxa"/>
          </w:tcPr>
          <w:p>
            <w:pPr>
              <w:overflowPunct w:val="0"/>
              <w:topLinePunct/>
              <w:snapToGrid w:val="0"/>
              <w:spacing w:before="120" w:beforeLines="50" w:after="120" w:afterLines="50" w:line="440" w:lineRule="exact"/>
              <w:rPr>
                <w:rFonts w:ascii="Arial Unicode MS" w:hAnsi="Arial Unicode MS" w:eastAsia="Times New Roman"/>
              </w:rPr>
            </w:pPr>
          </w:p>
        </w:tc>
        <w:tc>
          <w:tcPr>
            <w:tcW w:w="224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329" w:type="dxa"/>
          </w:tcPr>
          <w:p>
            <w:pPr>
              <w:overflowPunct w:val="0"/>
              <w:topLinePunct/>
              <w:snapToGrid w:val="0"/>
              <w:spacing w:before="120" w:beforeLines="50" w:after="120" w:afterLines="50" w:line="440" w:lineRule="exact"/>
              <w:rPr>
                <w:rFonts w:ascii="Arial Unicode MS" w:hAnsi="Arial Unicode MS" w:eastAsia="Times New Roman"/>
              </w:rPr>
            </w:pPr>
          </w:p>
        </w:tc>
        <w:tc>
          <w:tcPr>
            <w:tcW w:w="89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12" w:type="dxa"/>
          </w:tcPr>
          <w:p>
            <w:pPr>
              <w:overflowPunct w:val="0"/>
              <w:topLinePunct/>
              <w:snapToGrid w:val="0"/>
              <w:spacing w:before="120" w:beforeLines="50" w:after="120" w:afterLines="50" w:line="440" w:lineRule="exact"/>
              <w:rPr>
                <w:rFonts w:ascii="Arial Unicode MS" w:hAnsi="Arial Unicode MS" w:eastAsia="Times New Roman"/>
              </w:rPr>
            </w:pPr>
          </w:p>
        </w:tc>
        <w:tc>
          <w:tcPr>
            <w:tcW w:w="972"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98" w:type="dxa"/>
          </w:tcPr>
          <w:p>
            <w:pPr>
              <w:overflowPunct w:val="0"/>
              <w:topLinePunct/>
              <w:snapToGrid w:val="0"/>
              <w:spacing w:before="120" w:beforeLines="50" w:after="120" w:afterLines="50" w:line="440" w:lineRule="exact"/>
              <w:rPr>
                <w:rFonts w:ascii="Arial Unicode MS" w:hAnsi="Arial Unicode MS" w:eastAsia="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869" w:type="dxa"/>
          </w:tcPr>
          <w:p>
            <w:pPr>
              <w:overflowPunct w:val="0"/>
              <w:topLinePunct/>
              <w:snapToGrid w:val="0"/>
              <w:spacing w:before="120" w:beforeLines="50" w:after="120" w:afterLines="50" w:line="440" w:lineRule="exact"/>
              <w:rPr>
                <w:rFonts w:ascii="Arial Unicode MS" w:hAnsi="Arial Unicode MS" w:eastAsia="Times New Roman"/>
              </w:rPr>
            </w:pPr>
          </w:p>
        </w:tc>
        <w:tc>
          <w:tcPr>
            <w:tcW w:w="224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329" w:type="dxa"/>
          </w:tcPr>
          <w:p>
            <w:pPr>
              <w:overflowPunct w:val="0"/>
              <w:topLinePunct/>
              <w:snapToGrid w:val="0"/>
              <w:spacing w:before="120" w:beforeLines="50" w:after="120" w:afterLines="50" w:line="440" w:lineRule="exact"/>
              <w:rPr>
                <w:rFonts w:ascii="Arial Unicode MS" w:hAnsi="Arial Unicode MS" w:eastAsia="Times New Roman"/>
              </w:rPr>
            </w:pPr>
          </w:p>
        </w:tc>
        <w:tc>
          <w:tcPr>
            <w:tcW w:w="89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12" w:type="dxa"/>
          </w:tcPr>
          <w:p>
            <w:pPr>
              <w:overflowPunct w:val="0"/>
              <w:topLinePunct/>
              <w:snapToGrid w:val="0"/>
              <w:spacing w:before="120" w:beforeLines="50" w:after="120" w:afterLines="50" w:line="440" w:lineRule="exact"/>
              <w:rPr>
                <w:rFonts w:ascii="Arial Unicode MS" w:hAnsi="Arial Unicode MS" w:eastAsia="Times New Roman"/>
              </w:rPr>
            </w:pPr>
          </w:p>
        </w:tc>
        <w:tc>
          <w:tcPr>
            <w:tcW w:w="972"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98" w:type="dxa"/>
          </w:tcPr>
          <w:p>
            <w:pPr>
              <w:overflowPunct w:val="0"/>
              <w:topLinePunct/>
              <w:snapToGrid w:val="0"/>
              <w:spacing w:before="120" w:beforeLines="50" w:after="120" w:afterLines="50" w:line="440" w:lineRule="exact"/>
              <w:rPr>
                <w:rFonts w:ascii="Arial Unicode MS" w:hAnsi="Arial Unicode MS" w:eastAsia="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869" w:type="dxa"/>
          </w:tcPr>
          <w:p>
            <w:pPr>
              <w:overflowPunct w:val="0"/>
              <w:topLinePunct/>
              <w:snapToGrid w:val="0"/>
              <w:spacing w:before="120" w:beforeLines="50" w:after="120" w:afterLines="50" w:line="440" w:lineRule="exact"/>
              <w:rPr>
                <w:rFonts w:ascii="Arial Unicode MS" w:hAnsi="Arial Unicode MS" w:eastAsia="Times New Roman"/>
              </w:rPr>
            </w:pPr>
          </w:p>
        </w:tc>
        <w:tc>
          <w:tcPr>
            <w:tcW w:w="224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329" w:type="dxa"/>
          </w:tcPr>
          <w:p>
            <w:pPr>
              <w:overflowPunct w:val="0"/>
              <w:topLinePunct/>
              <w:snapToGrid w:val="0"/>
              <w:spacing w:before="120" w:beforeLines="50" w:after="120" w:afterLines="50" w:line="440" w:lineRule="exact"/>
              <w:rPr>
                <w:rFonts w:ascii="Arial Unicode MS" w:hAnsi="Arial Unicode MS" w:eastAsia="Times New Roman"/>
              </w:rPr>
            </w:pPr>
          </w:p>
        </w:tc>
        <w:tc>
          <w:tcPr>
            <w:tcW w:w="89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12" w:type="dxa"/>
          </w:tcPr>
          <w:p>
            <w:pPr>
              <w:overflowPunct w:val="0"/>
              <w:topLinePunct/>
              <w:snapToGrid w:val="0"/>
              <w:spacing w:before="120" w:beforeLines="50" w:after="120" w:afterLines="50" w:line="440" w:lineRule="exact"/>
              <w:rPr>
                <w:rFonts w:ascii="Arial Unicode MS" w:hAnsi="Arial Unicode MS" w:eastAsia="Times New Roman"/>
              </w:rPr>
            </w:pPr>
          </w:p>
        </w:tc>
        <w:tc>
          <w:tcPr>
            <w:tcW w:w="972"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98" w:type="dxa"/>
          </w:tcPr>
          <w:p>
            <w:pPr>
              <w:overflowPunct w:val="0"/>
              <w:topLinePunct/>
              <w:snapToGrid w:val="0"/>
              <w:spacing w:before="120" w:beforeLines="50" w:after="120" w:afterLines="50" w:line="440" w:lineRule="exact"/>
              <w:rPr>
                <w:rFonts w:ascii="Arial Unicode MS" w:hAnsi="Arial Unicode MS" w:eastAsia="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869" w:type="dxa"/>
          </w:tcPr>
          <w:p>
            <w:pPr>
              <w:overflowPunct w:val="0"/>
              <w:topLinePunct/>
              <w:snapToGrid w:val="0"/>
              <w:spacing w:before="120" w:beforeLines="50" w:after="120" w:afterLines="50" w:line="440" w:lineRule="exact"/>
              <w:rPr>
                <w:rFonts w:ascii="Arial Unicode MS" w:hAnsi="Arial Unicode MS" w:eastAsia="Times New Roman"/>
              </w:rPr>
            </w:pPr>
          </w:p>
        </w:tc>
        <w:tc>
          <w:tcPr>
            <w:tcW w:w="224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329" w:type="dxa"/>
          </w:tcPr>
          <w:p>
            <w:pPr>
              <w:overflowPunct w:val="0"/>
              <w:topLinePunct/>
              <w:snapToGrid w:val="0"/>
              <w:spacing w:before="120" w:beforeLines="50" w:after="120" w:afterLines="50" w:line="440" w:lineRule="exact"/>
              <w:rPr>
                <w:rFonts w:ascii="Arial Unicode MS" w:hAnsi="Arial Unicode MS" w:eastAsia="Times New Roman"/>
              </w:rPr>
            </w:pPr>
          </w:p>
        </w:tc>
        <w:tc>
          <w:tcPr>
            <w:tcW w:w="89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12" w:type="dxa"/>
          </w:tcPr>
          <w:p>
            <w:pPr>
              <w:overflowPunct w:val="0"/>
              <w:topLinePunct/>
              <w:snapToGrid w:val="0"/>
              <w:spacing w:before="120" w:beforeLines="50" w:after="120" w:afterLines="50" w:line="440" w:lineRule="exact"/>
              <w:rPr>
                <w:rFonts w:ascii="Arial Unicode MS" w:hAnsi="Arial Unicode MS" w:eastAsia="Times New Roman"/>
              </w:rPr>
            </w:pPr>
          </w:p>
        </w:tc>
        <w:tc>
          <w:tcPr>
            <w:tcW w:w="972"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98" w:type="dxa"/>
          </w:tcPr>
          <w:p>
            <w:pPr>
              <w:overflowPunct w:val="0"/>
              <w:topLinePunct/>
              <w:snapToGrid w:val="0"/>
              <w:spacing w:before="120" w:beforeLines="50" w:after="120" w:afterLines="50" w:line="440" w:lineRule="exact"/>
              <w:rPr>
                <w:rFonts w:ascii="Arial Unicode MS" w:hAnsi="Arial Unicode MS" w:eastAsia="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869" w:type="dxa"/>
          </w:tcPr>
          <w:p>
            <w:pPr>
              <w:overflowPunct w:val="0"/>
              <w:topLinePunct/>
              <w:snapToGrid w:val="0"/>
              <w:spacing w:before="120" w:beforeLines="50" w:after="120" w:afterLines="50" w:line="440" w:lineRule="exact"/>
              <w:rPr>
                <w:rFonts w:ascii="Arial Unicode MS" w:hAnsi="Arial Unicode MS" w:eastAsia="Times New Roman"/>
              </w:rPr>
            </w:pPr>
          </w:p>
        </w:tc>
        <w:tc>
          <w:tcPr>
            <w:tcW w:w="224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329" w:type="dxa"/>
          </w:tcPr>
          <w:p>
            <w:pPr>
              <w:overflowPunct w:val="0"/>
              <w:topLinePunct/>
              <w:snapToGrid w:val="0"/>
              <w:spacing w:before="120" w:beforeLines="50" w:after="120" w:afterLines="50" w:line="440" w:lineRule="exact"/>
              <w:rPr>
                <w:rFonts w:ascii="Arial Unicode MS" w:hAnsi="Arial Unicode MS" w:eastAsia="Times New Roman"/>
              </w:rPr>
            </w:pPr>
          </w:p>
        </w:tc>
        <w:tc>
          <w:tcPr>
            <w:tcW w:w="89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12" w:type="dxa"/>
          </w:tcPr>
          <w:p>
            <w:pPr>
              <w:overflowPunct w:val="0"/>
              <w:topLinePunct/>
              <w:snapToGrid w:val="0"/>
              <w:spacing w:before="120" w:beforeLines="50" w:after="120" w:afterLines="50" w:line="440" w:lineRule="exact"/>
              <w:rPr>
                <w:rFonts w:ascii="Arial Unicode MS" w:hAnsi="Arial Unicode MS" w:eastAsia="Times New Roman"/>
              </w:rPr>
            </w:pPr>
          </w:p>
        </w:tc>
        <w:tc>
          <w:tcPr>
            <w:tcW w:w="972"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98" w:type="dxa"/>
          </w:tcPr>
          <w:p>
            <w:pPr>
              <w:overflowPunct w:val="0"/>
              <w:topLinePunct/>
              <w:snapToGrid w:val="0"/>
              <w:spacing w:before="120" w:beforeLines="50" w:after="120" w:afterLines="50" w:line="440" w:lineRule="exact"/>
              <w:rPr>
                <w:rFonts w:ascii="Arial Unicode MS" w:hAnsi="Arial Unicode MS" w:eastAsia="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869" w:type="dxa"/>
          </w:tcPr>
          <w:p>
            <w:pPr>
              <w:overflowPunct w:val="0"/>
              <w:topLinePunct/>
              <w:snapToGrid w:val="0"/>
              <w:spacing w:before="120" w:beforeLines="50" w:after="120" w:afterLines="50" w:line="440" w:lineRule="exact"/>
              <w:rPr>
                <w:rFonts w:ascii="Arial Unicode MS" w:hAnsi="Arial Unicode MS" w:eastAsia="Times New Roman"/>
              </w:rPr>
            </w:pPr>
          </w:p>
        </w:tc>
        <w:tc>
          <w:tcPr>
            <w:tcW w:w="224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329" w:type="dxa"/>
          </w:tcPr>
          <w:p>
            <w:pPr>
              <w:overflowPunct w:val="0"/>
              <w:topLinePunct/>
              <w:snapToGrid w:val="0"/>
              <w:spacing w:before="120" w:beforeLines="50" w:after="120" w:afterLines="50" w:line="440" w:lineRule="exact"/>
              <w:rPr>
                <w:rFonts w:ascii="Arial Unicode MS" w:hAnsi="Arial Unicode MS" w:eastAsia="Times New Roman"/>
              </w:rPr>
            </w:pPr>
          </w:p>
        </w:tc>
        <w:tc>
          <w:tcPr>
            <w:tcW w:w="89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12" w:type="dxa"/>
          </w:tcPr>
          <w:p>
            <w:pPr>
              <w:overflowPunct w:val="0"/>
              <w:topLinePunct/>
              <w:snapToGrid w:val="0"/>
              <w:spacing w:before="120" w:beforeLines="50" w:after="120" w:afterLines="50" w:line="440" w:lineRule="exact"/>
              <w:rPr>
                <w:rFonts w:ascii="Arial Unicode MS" w:hAnsi="Arial Unicode MS" w:eastAsia="Times New Roman"/>
              </w:rPr>
            </w:pPr>
          </w:p>
        </w:tc>
        <w:tc>
          <w:tcPr>
            <w:tcW w:w="972"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98" w:type="dxa"/>
          </w:tcPr>
          <w:p>
            <w:pPr>
              <w:overflowPunct w:val="0"/>
              <w:topLinePunct/>
              <w:snapToGrid w:val="0"/>
              <w:spacing w:before="120" w:beforeLines="50" w:after="120" w:afterLines="50" w:line="440" w:lineRule="exact"/>
              <w:rPr>
                <w:rFonts w:ascii="Arial Unicode MS" w:hAnsi="Arial Unicode MS" w:eastAsia="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869" w:type="dxa"/>
          </w:tcPr>
          <w:p>
            <w:pPr>
              <w:overflowPunct w:val="0"/>
              <w:topLinePunct/>
              <w:snapToGrid w:val="0"/>
              <w:spacing w:before="120" w:beforeLines="50" w:after="120" w:afterLines="50" w:line="440" w:lineRule="exact"/>
              <w:rPr>
                <w:rFonts w:ascii="Arial Unicode MS" w:hAnsi="Arial Unicode MS" w:eastAsia="Times New Roman"/>
              </w:rPr>
            </w:pPr>
          </w:p>
        </w:tc>
        <w:tc>
          <w:tcPr>
            <w:tcW w:w="224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329" w:type="dxa"/>
          </w:tcPr>
          <w:p>
            <w:pPr>
              <w:overflowPunct w:val="0"/>
              <w:topLinePunct/>
              <w:snapToGrid w:val="0"/>
              <w:spacing w:before="120" w:beforeLines="50" w:after="120" w:afterLines="50" w:line="440" w:lineRule="exact"/>
              <w:rPr>
                <w:rFonts w:ascii="Arial Unicode MS" w:hAnsi="Arial Unicode MS" w:eastAsia="Times New Roman"/>
              </w:rPr>
            </w:pPr>
          </w:p>
        </w:tc>
        <w:tc>
          <w:tcPr>
            <w:tcW w:w="893"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12" w:type="dxa"/>
          </w:tcPr>
          <w:p>
            <w:pPr>
              <w:overflowPunct w:val="0"/>
              <w:topLinePunct/>
              <w:snapToGrid w:val="0"/>
              <w:spacing w:before="120" w:beforeLines="50" w:after="120" w:afterLines="50" w:line="440" w:lineRule="exact"/>
              <w:rPr>
                <w:rFonts w:ascii="Arial Unicode MS" w:hAnsi="Arial Unicode MS" w:eastAsia="Times New Roman"/>
              </w:rPr>
            </w:pPr>
          </w:p>
        </w:tc>
        <w:tc>
          <w:tcPr>
            <w:tcW w:w="972" w:type="dxa"/>
          </w:tcPr>
          <w:p>
            <w:pPr>
              <w:overflowPunct w:val="0"/>
              <w:topLinePunct/>
              <w:snapToGrid w:val="0"/>
              <w:spacing w:before="120" w:beforeLines="50" w:after="120" w:afterLines="50" w:line="440" w:lineRule="exact"/>
              <w:rPr>
                <w:rFonts w:ascii="Arial Unicode MS" w:hAnsi="Arial Unicode MS" w:eastAsia="Times New Roman"/>
              </w:rPr>
            </w:pPr>
          </w:p>
        </w:tc>
        <w:tc>
          <w:tcPr>
            <w:tcW w:w="1098" w:type="dxa"/>
          </w:tcPr>
          <w:p>
            <w:pPr>
              <w:overflowPunct w:val="0"/>
              <w:topLinePunct/>
              <w:snapToGrid w:val="0"/>
              <w:spacing w:before="120" w:beforeLines="50" w:after="120" w:afterLines="50" w:line="440" w:lineRule="exact"/>
              <w:rPr>
                <w:rFonts w:ascii="Arial Unicode MS" w:hAnsi="Arial Unicode MS" w:eastAsia="Times New Roman"/>
              </w:rPr>
            </w:pPr>
          </w:p>
        </w:tc>
      </w:tr>
    </w:tbl>
    <w:p>
      <w:pPr>
        <w:snapToGrid w:val="0"/>
        <w:spacing w:before="120" w:beforeLines="50" w:after="120" w:afterLines="50" w:line="440" w:lineRule="exact"/>
        <w:ind w:right="1365" w:firstLine="420" w:firstLineChars="200"/>
        <w:rPr>
          <w:rFonts w:ascii="Arial Unicode MS" w:hAnsi="Arial Unicode MS" w:eastAsia="Times New Roman"/>
        </w:rPr>
      </w:pPr>
      <w:r>
        <w:rPr>
          <w:rFonts w:hint="eastAsia" w:ascii="宋体" w:hAnsi="宋体" w:cs="宋体"/>
        </w:rPr>
        <w:t>报价单位（公章）：</w:t>
      </w:r>
    </w:p>
    <w:p>
      <w:pPr>
        <w:snapToGrid w:val="0"/>
        <w:spacing w:before="120" w:beforeLines="50" w:after="120" w:afterLines="50" w:line="440" w:lineRule="exact"/>
        <w:ind w:right="945" w:firstLine="420" w:firstLineChars="200"/>
        <w:rPr>
          <w:rFonts w:ascii="Arial Unicode MS" w:hAnsi="Arial Unicode MS" w:eastAsia="Times New Roman"/>
        </w:rPr>
      </w:pPr>
      <w:r>
        <w:rPr>
          <w:rFonts w:hint="eastAsia" w:ascii="宋体" w:hAnsi="宋体" w:cs="宋体"/>
        </w:rPr>
        <w:t>法定代表人或授权代表签字：</w:t>
      </w:r>
    </w:p>
    <w:p>
      <w:pPr>
        <w:snapToGrid w:val="0"/>
        <w:spacing w:before="120" w:beforeLines="50" w:after="120" w:afterLines="50" w:line="440" w:lineRule="exact"/>
        <w:ind w:right="1365" w:firstLine="420" w:firstLineChars="200"/>
        <w:rPr>
          <w:rFonts w:ascii="宋体" w:hAnsi="宋体" w:cs="宋体"/>
          <w:b/>
          <w:bCs/>
          <w:sz w:val="30"/>
          <w:szCs w:val="30"/>
        </w:rPr>
        <w:sectPr>
          <w:pgSz w:w="11906" w:h="16838"/>
          <w:pgMar w:top="1440" w:right="1123" w:bottom="1440" w:left="1123" w:header="851" w:footer="992" w:gutter="0"/>
          <w:cols w:space="720" w:num="1"/>
          <w:docGrid w:linePitch="312" w:charSpace="0"/>
        </w:sectPr>
      </w:pPr>
      <w:r>
        <w:rPr>
          <w:rFonts w:hint="eastAsia" w:ascii="宋体" w:hAnsi="宋体" w:cs="宋体"/>
        </w:rPr>
        <w:t>日期：</w:t>
      </w:r>
    </w:p>
    <w:p>
      <w:pPr>
        <w:autoSpaceDE w:val="0"/>
        <w:autoSpaceDN w:val="0"/>
        <w:adjustRightInd w:val="0"/>
        <w:spacing w:line="360" w:lineRule="exact"/>
        <w:jc w:val="center"/>
        <w:rPr>
          <w:rFonts w:ascii="宋体" w:hAnsi="宋体" w:cs="宋体"/>
        </w:rPr>
      </w:pPr>
      <w:r>
        <w:rPr>
          <w:rFonts w:hint="eastAsia" w:ascii="宋体" w:hAnsi="宋体" w:cs="宋体"/>
          <w:b/>
          <w:bCs/>
          <w:sz w:val="30"/>
          <w:szCs w:val="30"/>
        </w:rPr>
        <w:t>售后服务要求响应表</w:t>
      </w:r>
    </w:p>
    <w:tbl>
      <w:tblPr>
        <w:tblStyle w:val="24"/>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4613"/>
        <w:gridCol w:w="1995"/>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autoSpaceDE w:val="0"/>
              <w:autoSpaceDN w:val="0"/>
              <w:adjustRightInd w:val="0"/>
              <w:spacing w:line="360" w:lineRule="exact"/>
              <w:jc w:val="center"/>
              <w:rPr>
                <w:rFonts w:ascii="宋体" w:hAnsi="宋体"/>
                <w:kern w:val="0"/>
                <w:sz w:val="20"/>
                <w:szCs w:val="20"/>
              </w:rPr>
            </w:pPr>
            <w:r>
              <w:rPr>
                <w:rFonts w:hint="eastAsia" w:ascii="宋体" w:hAnsi="宋体"/>
                <w:kern w:val="0"/>
                <w:sz w:val="20"/>
                <w:szCs w:val="20"/>
              </w:rPr>
              <w:t>序号</w:t>
            </w:r>
          </w:p>
        </w:tc>
        <w:tc>
          <w:tcPr>
            <w:tcW w:w="4613" w:type="dxa"/>
            <w:vAlign w:val="center"/>
          </w:tcPr>
          <w:p>
            <w:pPr>
              <w:autoSpaceDE w:val="0"/>
              <w:autoSpaceDN w:val="0"/>
              <w:adjustRightInd w:val="0"/>
              <w:spacing w:line="360" w:lineRule="exact"/>
              <w:jc w:val="center"/>
              <w:rPr>
                <w:rFonts w:ascii="宋体" w:hAnsi="宋体"/>
                <w:kern w:val="0"/>
                <w:sz w:val="20"/>
                <w:szCs w:val="20"/>
              </w:rPr>
            </w:pPr>
            <w:r>
              <w:rPr>
                <w:rFonts w:hint="eastAsia" w:ascii="宋体" w:hAnsi="宋体"/>
                <w:kern w:val="0"/>
                <w:sz w:val="20"/>
                <w:szCs w:val="20"/>
              </w:rPr>
              <w:t>招标方对投标方的要求</w:t>
            </w:r>
          </w:p>
        </w:tc>
        <w:tc>
          <w:tcPr>
            <w:tcW w:w="1995" w:type="dxa"/>
            <w:vAlign w:val="center"/>
          </w:tcPr>
          <w:p>
            <w:pPr>
              <w:autoSpaceDE w:val="0"/>
              <w:autoSpaceDN w:val="0"/>
              <w:adjustRightInd w:val="0"/>
              <w:spacing w:line="360" w:lineRule="exact"/>
              <w:jc w:val="center"/>
              <w:rPr>
                <w:rFonts w:ascii="宋体" w:hAnsi="宋体"/>
                <w:kern w:val="0"/>
                <w:sz w:val="20"/>
                <w:szCs w:val="20"/>
              </w:rPr>
            </w:pPr>
            <w:r>
              <w:rPr>
                <w:rFonts w:hint="eastAsia" w:ascii="宋体" w:hAnsi="宋体"/>
                <w:kern w:val="0"/>
                <w:sz w:val="20"/>
                <w:szCs w:val="20"/>
              </w:rPr>
              <w:t>投标方是否响应（填“是”或“否”，如填“否”，请在备注一栏说明原因）</w:t>
            </w:r>
          </w:p>
        </w:tc>
        <w:tc>
          <w:tcPr>
            <w:tcW w:w="1792" w:type="dxa"/>
            <w:vAlign w:val="center"/>
          </w:tcPr>
          <w:p>
            <w:pPr>
              <w:autoSpaceDE w:val="0"/>
              <w:autoSpaceDN w:val="0"/>
              <w:adjustRightInd w:val="0"/>
              <w:spacing w:line="360" w:lineRule="exact"/>
              <w:jc w:val="center"/>
              <w:rPr>
                <w:rFonts w:ascii="宋体" w:hAnsi="宋体"/>
                <w:kern w:val="0"/>
                <w:sz w:val="20"/>
                <w:szCs w:val="20"/>
              </w:rPr>
            </w:pPr>
            <w:r>
              <w:rPr>
                <w:rFonts w:hint="eastAsia" w:ascii="宋体" w:hAnsi="宋体"/>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autoSpaceDE w:val="0"/>
              <w:autoSpaceDN w:val="0"/>
              <w:adjustRightInd w:val="0"/>
              <w:spacing w:line="360" w:lineRule="exact"/>
              <w:jc w:val="center"/>
              <w:rPr>
                <w:rFonts w:ascii="宋体" w:hAnsi="宋体"/>
                <w:kern w:val="0"/>
                <w:sz w:val="20"/>
                <w:szCs w:val="20"/>
              </w:rPr>
            </w:pPr>
            <w:r>
              <w:rPr>
                <w:rFonts w:hint="eastAsia" w:ascii="宋体" w:hAnsi="宋体"/>
                <w:kern w:val="0"/>
                <w:sz w:val="20"/>
                <w:szCs w:val="20"/>
              </w:rPr>
              <w:t>1</w:t>
            </w:r>
          </w:p>
        </w:tc>
        <w:tc>
          <w:tcPr>
            <w:tcW w:w="4613" w:type="dxa"/>
            <w:vAlign w:val="center"/>
          </w:tcPr>
          <w:p>
            <w:pPr>
              <w:snapToGrid w:val="0"/>
              <w:rPr>
                <w:rFonts w:ascii="宋体" w:hAnsi="宋体"/>
                <w:sz w:val="20"/>
                <w:szCs w:val="20"/>
              </w:rPr>
            </w:pPr>
            <w:r>
              <w:rPr>
                <w:rFonts w:hint="eastAsia" w:ascii="宋体" w:hAnsi="宋体" w:cs="宋体"/>
                <w:sz w:val="20"/>
                <w:szCs w:val="20"/>
              </w:rPr>
              <w:t>投标方应在深圳设有常驻维修机构，处理所有保修服务，该服务须</w:t>
            </w:r>
            <w:r>
              <w:rPr>
                <w:rFonts w:ascii="宋体" w:hAnsi="宋体"/>
                <w:sz w:val="20"/>
                <w:szCs w:val="20"/>
              </w:rPr>
              <w:t>24</w:t>
            </w:r>
            <w:r>
              <w:rPr>
                <w:rFonts w:hint="eastAsia" w:ascii="宋体" w:hAnsi="宋体" w:cs="宋体"/>
                <w:sz w:val="20"/>
                <w:szCs w:val="20"/>
              </w:rPr>
              <w:t>小时免费提供，在接到保修通知后</w:t>
            </w:r>
            <w:r>
              <w:rPr>
                <w:rFonts w:hint="eastAsia" w:ascii="宋体" w:hAnsi="宋体"/>
                <w:sz w:val="20"/>
                <w:szCs w:val="20"/>
              </w:rPr>
              <w:t>0.5</w:t>
            </w:r>
            <w:r>
              <w:rPr>
                <w:rFonts w:hint="eastAsia" w:ascii="宋体" w:hAnsi="宋体" w:cs="宋体"/>
                <w:sz w:val="20"/>
                <w:szCs w:val="20"/>
              </w:rPr>
              <w:t>小时内赶到现场，并能够连续进行维修，直至故障排除并完全恢复正常服务为止。该维修机构须备有足够的零备件，以满足工程的维修需要。若因维修人员未及时赶到而造成的经济损失及人身伤害的，由投标方负责。</w:t>
            </w:r>
          </w:p>
        </w:tc>
        <w:tc>
          <w:tcPr>
            <w:tcW w:w="1995" w:type="dxa"/>
            <w:vAlign w:val="center"/>
          </w:tcPr>
          <w:p>
            <w:pPr>
              <w:autoSpaceDE w:val="0"/>
              <w:autoSpaceDN w:val="0"/>
              <w:adjustRightInd w:val="0"/>
              <w:spacing w:line="360" w:lineRule="exact"/>
              <w:jc w:val="center"/>
              <w:rPr>
                <w:rFonts w:ascii="宋体" w:hAnsi="宋体"/>
                <w:kern w:val="0"/>
                <w:sz w:val="20"/>
                <w:szCs w:val="20"/>
              </w:rPr>
            </w:pPr>
          </w:p>
        </w:tc>
        <w:tc>
          <w:tcPr>
            <w:tcW w:w="1792" w:type="dxa"/>
            <w:vAlign w:val="center"/>
          </w:tcPr>
          <w:p>
            <w:pPr>
              <w:autoSpaceDE w:val="0"/>
              <w:autoSpaceDN w:val="0"/>
              <w:adjustRightInd w:val="0"/>
              <w:spacing w:line="360" w:lineRule="exact"/>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38" w:type="dxa"/>
            <w:vAlign w:val="center"/>
          </w:tcPr>
          <w:p>
            <w:pPr>
              <w:autoSpaceDE w:val="0"/>
              <w:autoSpaceDN w:val="0"/>
              <w:adjustRightInd w:val="0"/>
              <w:spacing w:line="360" w:lineRule="exact"/>
              <w:jc w:val="center"/>
              <w:rPr>
                <w:rFonts w:ascii="宋体" w:hAnsi="宋体"/>
                <w:kern w:val="0"/>
                <w:sz w:val="20"/>
                <w:szCs w:val="20"/>
              </w:rPr>
            </w:pPr>
            <w:r>
              <w:rPr>
                <w:rFonts w:hint="eastAsia" w:ascii="宋体" w:hAnsi="宋体"/>
                <w:kern w:val="0"/>
                <w:sz w:val="20"/>
                <w:szCs w:val="20"/>
              </w:rPr>
              <w:t>2</w:t>
            </w:r>
          </w:p>
        </w:tc>
        <w:tc>
          <w:tcPr>
            <w:tcW w:w="4613" w:type="dxa"/>
            <w:vAlign w:val="center"/>
          </w:tcPr>
          <w:p>
            <w:pPr>
              <w:snapToGrid w:val="0"/>
              <w:rPr>
                <w:rFonts w:ascii="宋体" w:hAnsi="宋体"/>
                <w:sz w:val="20"/>
                <w:szCs w:val="20"/>
              </w:rPr>
            </w:pPr>
            <w:r>
              <w:rPr>
                <w:rFonts w:hint="eastAsia" w:ascii="宋体" w:hAnsi="宋体" w:cs="宋体"/>
                <w:sz w:val="20"/>
                <w:szCs w:val="20"/>
              </w:rPr>
              <w:t>投标方须为所提供的设备/材料提供为期</w:t>
            </w:r>
            <w:r>
              <w:rPr>
                <w:rFonts w:ascii="宋体" w:hAnsi="宋体" w:cs="宋体"/>
                <w:sz w:val="20"/>
                <w:szCs w:val="20"/>
              </w:rPr>
              <w:t>36</w:t>
            </w:r>
            <w:r>
              <w:rPr>
                <w:rFonts w:hint="eastAsia" w:ascii="宋体" w:hAnsi="宋体" w:cs="宋体"/>
                <w:sz w:val="20"/>
                <w:szCs w:val="20"/>
              </w:rPr>
              <w:t>个月的免费保修服务，时间从业主方发出实际竣工证书内所指的实际竣工日期起计</w:t>
            </w:r>
            <w:r>
              <w:rPr>
                <w:rFonts w:ascii="宋体" w:hAnsi="宋体" w:cs="宋体"/>
                <w:sz w:val="20"/>
                <w:szCs w:val="20"/>
              </w:rPr>
              <w:t>36</w:t>
            </w:r>
            <w:r>
              <w:rPr>
                <w:rFonts w:hint="eastAsia" w:ascii="宋体" w:hAnsi="宋体" w:cs="宋体"/>
                <w:sz w:val="20"/>
                <w:szCs w:val="20"/>
              </w:rPr>
              <w:t>个月。</w:t>
            </w:r>
          </w:p>
        </w:tc>
        <w:tc>
          <w:tcPr>
            <w:tcW w:w="1995" w:type="dxa"/>
            <w:vAlign w:val="center"/>
          </w:tcPr>
          <w:p>
            <w:pPr>
              <w:autoSpaceDE w:val="0"/>
              <w:autoSpaceDN w:val="0"/>
              <w:adjustRightInd w:val="0"/>
              <w:spacing w:line="360" w:lineRule="exact"/>
              <w:jc w:val="center"/>
              <w:rPr>
                <w:rFonts w:ascii="宋体" w:hAnsi="宋体"/>
                <w:kern w:val="0"/>
                <w:sz w:val="20"/>
                <w:szCs w:val="20"/>
              </w:rPr>
            </w:pPr>
          </w:p>
        </w:tc>
        <w:tc>
          <w:tcPr>
            <w:tcW w:w="1792" w:type="dxa"/>
            <w:vAlign w:val="center"/>
          </w:tcPr>
          <w:p>
            <w:pPr>
              <w:autoSpaceDE w:val="0"/>
              <w:autoSpaceDN w:val="0"/>
              <w:adjustRightInd w:val="0"/>
              <w:spacing w:line="360" w:lineRule="exact"/>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38" w:type="dxa"/>
            <w:vAlign w:val="center"/>
          </w:tcPr>
          <w:p>
            <w:pPr>
              <w:autoSpaceDE w:val="0"/>
              <w:autoSpaceDN w:val="0"/>
              <w:adjustRightInd w:val="0"/>
              <w:spacing w:line="360" w:lineRule="exact"/>
              <w:jc w:val="center"/>
              <w:rPr>
                <w:rFonts w:ascii="宋体" w:hAnsi="宋体"/>
                <w:kern w:val="0"/>
                <w:sz w:val="20"/>
                <w:szCs w:val="20"/>
              </w:rPr>
            </w:pPr>
            <w:r>
              <w:rPr>
                <w:rFonts w:hint="eastAsia" w:ascii="宋体" w:hAnsi="宋体"/>
                <w:kern w:val="0"/>
                <w:sz w:val="20"/>
                <w:szCs w:val="20"/>
              </w:rPr>
              <w:t>3</w:t>
            </w:r>
          </w:p>
        </w:tc>
        <w:tc>
          <w:tcPr>
            <w:tcW w:w="4613" w:type="dxa"/>
          </w:tcPr>
          <w:p>
            <w:pPr>
              <w:snapToGrid w:val="0"/>
              <w:rPr>
                <w:rFonts w:ascii="宋体" w:hAnsi="宋体" w:cs="宋体"/>
                <w:sz w:val="20"/>
                <w:szCs w:val="20"/>
              </w:rPr>
            </w:pPr>
            <w:r>
              <w:rPr>
                <w:rFonts w:hint="eastAsia" w:ascii="宋体" w:hAnsi="宋体" w:cs="宋体"/>
                <w:sz w:val="20"/>
                <w:szCs w:val="20"/>
              </w:rPr>
              <w:t>免费保修期内，由于设备/材料质量因素而造成的任何损伤或损坏，均由投标方负责免费维修、更换，并承担由此给招标人造成的全部损失。</w:t>
            </w:r>
          </w:p>
        </w:tc>
        <w:tc>
          <w:tcPr>
            <w:tcW w:w="1995" w:type="dxa"/>
            <w:vAlign w:val="center"/>
          </w:tcPr>
          <w:p>
            <w:pPr>
              <w:autoSpaceDE w:val="0"/>
              <w:autoSpaceDN w:val="0"/>
              <w:adjustRightInd w:val="0"/>
              <w:spacing w:line="360" w:lineRule="exact"/>
              <w:jc w:val="center"/>
              <w:rPr>
                <w:rFonts w:ascii="宋体" w:hAnsi="宋体"/>
                <w:kern w:val="0"/>
                <w:sz w:val="20"/>
                <w:szCs w:val="20"/>
              </w:rPr>
            </w:pPr>
          </w:p>
        </w:tc>
        <w:tc>
          <w:tcPr>
            <w:tcW w:w="1792" w:type="dxa"/>
            <w:vAlign w:val="center"/>
          </w:tcPr>
          <w:p>
            <w:pPr>
              <w:autoSpaceDE w:val="0"/>
              <w:autoSpaceDN w:val="0"/>
              <w:adjustRightInd w:val="0"/>
              <w:spacing w:line="360" w:lineRule="exact"/>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38" w:type="dxa"/>
            <w:vAlign w:val="center"/>
          </w:tcPr>
          <w:p>
            <w:pPr>
              <w:autoSpaceDE w:val="0"/>
              <w:autoSpaceDN w:val="0"/>
              <w:adjustRightInd w:val="0"/>
              <w:spacing w:line="360" w:lineRule="exact"/>
              <w:jc w:val="center"/>
              <w:rPr>
                <w:rFonts w:ascii="宋体" w:hAnsi="宋体"/>
                <w:kern w:val="0"/>
                <w:sz w:val="20"/>
                <w:szCs w:val="20"/>
              </w:rPr>
            </w:pPr>
            <w:r>
              <w:rPr>
                <w:rFonts w:hint="eastAsia" w:ascii="宋体" w:hAnsi="宋体"/>
                <w:kern w:val="0"/>
                <w:sz w:val="20"/>
                <w:szCs w:val="20"/>
              </w:rPr>
              <w:t>4</w:t>
            </w:r>
          </w:p>
        </w:tc>
        <w:tc>
          <w:tcPr>
            <w:tcW w:w="4613" w:type="dxa"/>
          </w:tcPr>
          <w:p>
            <w:pPr>
              <w:autoSpaceDE w:val="0"/>
              <w:autoSpaceDN w:val="0"/>
              <w:adjustRightInd w:val="0"/>
              <w:rPr>
                <w:rFonts w:ascii="宋体" w:hAnsi="宋体" w:cs="宋体"/>
                <w:sz w:val="20"/>
                <w:szCs w:val="20"/>
              </w:rPr>
            </w:pPr>
            <w:r>
              <w:rPr>
                <w:rFonts w:hint="eastAsia" w:ascii="宋体" w:hAnsi="宋体" w:cs="宋体"/>
                <w:sz w:val="20"/>
                <w:szCs w:val="20"/>
              </w:rPr>
              <w:t>同一部位、同一故障在三个月内，出现</w:t>
            </w:r>
            <w:r>
              <w:rPr>
                <w:rFonts w:ascii="宋体" w:hAnsi="宋体" w:cs="宋体"/>
                <w:sz w:val="20"/>
                <w:szCs w:val="20"/>
              </w:rPr>
              <w:t>2</w:t>
            </w:r>
            <w:r>
              <w:rPr>
                <w:rFonts w:hint="eastAsia" w:ascii="宋体" w:hAnsi="宋体" w:cs="宋体"/>
                <w:sz w:val="20"/>
                <w:szCs w:val="20"/>
              </w:rPr>
              <w:t>次或以上的故障，（人为操作不当除外）或故障造成影响区域超过</w:t>
            </w:r>
            <w:r>
              <w:rPr>
                <w:rFonts w:ascii="宋体" w:hAnsi="宋体" w:cs="宋体"/>
                <w:sz w:val="20"/>
                <w:szCs w:val="20"/>
              </w:rPr>
              <w:t>200m</w:t>
            </w:r>
            <w:r>
              <w:rPr>
                <w:rFonts w:hint="eastAsia" w:ascii="宋体" w:hAnsi="宋体" w:cs="宋体"/>
                <w:sz w:val="20"/>
                <w:szCs w:val="20"/>
              </w:rPr>
              <w:t>²或者影响人数达</w:t>
            </w:r>
            <w:r>
              <w:rPr>
                <w:rFonts w:ascii="宋体" w:hAnsi="宋体" w:cs="宋体"/>
                <w:sz w:val="20"/>
                <w:szCs w:val="20"/>
              </w:rPr>
              <w:t>20</w:t>
            </w:r>
            <w:r>
              <w:rPr>
                <w:rFonts w:hint="eastAsia" w:ascii="宋体" w:hAnsi="宋体" w:cs="宋体"/>
                <w:sz w:val="20"/>
                <w:szCs w:val="20"/>
              </w:rPr>
              <w:t>人或以上，需要向招标方提交事故原因分析报告。</w:t>
            </w:r>
          </w:p>
        </w:tc>
        <w:tc>
          <w:tcPr>
            <w:tcW w:w="1995" w:type="dxa"/>
            <w:vAlign w:val="center"/>
          </w:tcPr>
          <w:p>
            <w:pPr>
              <w:autoSpaceDE w:val="0"/>
              <w:autoSpaceDN w:val="0"/>
              <w:adjustRightInd w:val="0"/>
              <w:spacing w:line="360" w:lineRule="exact"/>
              <w:jc w:val="center"/>
              <w:rPr>
                <w:rFonts w:ascii="宋体" w:hAnsi="宋体"/>
                <w:kern w:val="0"/>
                <w:sz w:val="20"/>
                <w:szCs w:val="20"/>
              </w:rPr>
            </w:pPr>
          </w:p>
        </w:tc>
        <w:tc>
          <w:tcPr>
            <w:tcW w:w="1792" w:type="dxa"/>
            <w:vAlign w:val="center"/>
          </w:tcPr>
          <w:p>
            <w:pPr>
              <w:autoSpaceDE w:val="0"/>
              <w:autoSpaceDN w:val="0"/>
              <w:adjustRightInd w:val="0"/>
              <w:spacing w:line="360" w:lineRule="exact"/>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38" w:type="dxa"/>
            <w:vAlign w:val="center"/>
          </w:tcPr>
          <w:p>
            <w:pPr>
              <w:autoSpaceDE w:val="0"/>
              <w:autoSpaceDN w:val="0"/>
              <w:adjustRightInd w:val="0"/>
              <w:spacing w:line="360" w:lineRule="exact"/>
              <w:jc w:val="center"/>
              <w:rPr>
                <w:rFonts w:ascii="宋体" w:hAnsi="宋体"/>
                <w:kern w:val="0"/>
                <w:sz w:val="20"/>
                <w:szCs w:val="20"/>
              </w:rPr>
            </w:pPr>
            <w:r>
              <w:rPr>
                <w:rFonts w:hint="eastAsia" w:ascii="宋体" w:hAnsi="宋体"/>
                <w:kern w:val="0"/>
                <w:sz w:val="20"/>
                <w:szCs w:val="20"/>
              </w:rPr>
              <w:t>5</w:t>
            </w:r>
          </w:p>
        </w:tc>
        <w:tc>
          <w:tcPr>
            <w:tcW w:w="4613" w:type="dxa"/>
          </w:tcPr>
          <w:p>
            <w:pPr>
              <w:autoSpaceDE w:val="0"/>
              <w:autoSpaceDN w:val="0"/>
              <w:adjustRightInd w:val="0"/>
              <w:rPr>
                <w:rFonts w:ascii="宋体" w:hAnsi="宋体" w:cs="宋体"/>
                <w:kern w:val="0"/>
                <w:sz w:val="20"/>
                <w:szCs w:val="20"/>
              </w:rPr>
            </w:pPr>
            <w:r>
              <w:rPr>
                <w:rFonts w:hint="eastAsia" w:ascii="宋体" w:hAnsi="宋体" w:cs="宋体"/>
                <w:kern w:val="0"/>
                <w:sz w:val="20"/>
                <w:szCs w:val="20"/>
              </w:rPr>
              <w:t>投标方为招标方提供服务时，如发现设施设备/材料存在隐患，应主动书面告知招标方，及时答复招标方提出的咨询，如隐患属规划设计存在的问题，投标方有义务提出建议并协助招标方解决该问题。</w:t>
            </w:r>
          </w:p>
        </w:tc>
        <w:tc>
          <w:tcPr>
            <w:tcW w:w="1995" w:type="dxa"/>
            <w:vAlign w:val="center"/>
          </w:tcPr>
          <w:p>
            <w:pPr>
              <w:autoSpaceDE w:val="0"/>
              <w:autoSpaceDN w:val="0"/>
              <w:adjustRightInd w:val="0"/>
              <w:spacing w:line="360" w:lineRule="exact"/>
              <w:jc w:val="center"/>
              <w:rPr>
                <w:rFonts w:ascii="宋体" w:hAnsi="宋体"/>
                <w:kern w:val="0"/>
                <w:sz w:val="20"/>
                <w:szCs w:val="20"/>
              </w:rPr>
            </w:pPr>
          </w:p>
        </w:tc>
        <w:tc>
          <w:tcPr>
            <w:tcW w:w="1792" w:type="dxa"/>
            <w:vAlign w:val="center"/>
          </w:tcPr>
          <w:p>
            <w:pPr>
              <w:autoSpaceDE w:val="0"/>
              <w:autoSpaceDN w:val="0"/>
              <w:adjustRightInd w:val="0"/>
              <w:spacing w:line="360" w:lineRule="exact"/>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38" w:type="dxa"/>
            <w:vAlign w:val="center"/>
          </w:tcPr>
          <w:p>
            <w:pPr>
              <w:autoSpaceDE w:val="0"/>
              <w:autoSpaceDN w:val="0"/>
              <w:adjustRightInd w:val="0"/>
              <w:spacing w:line="360" w:lineRule="exact"/>
              <w:jc w:val="center"/>
              <w:rPr>
                <w:rFonts w:ascii="宋体" w:hAnsi="宋体"/>
                <w:kern w:val="0"/>
                <w:sz w:val="20"/>
                <w:szCs w:val="20"/>
              </w:rPr>
            </w:pPr>
            <w:r>
              <w:rPr>
                <w:rFonts w:hint="eastAsia" w:ascii="宋体" w:hAnsi="宋体"/>
                <w:kern w:val="0"/>
                <w:sz w:val="20"/>
                <w:szCs w:val="20"/>
              </w:rPr>
              <w:t>6</w:t>
            </w:r>
          </w:p>
        </w:tc>
        <w:tc>
          <w:tcPr>
            <w:tcW w:w="4613" w:type="dxa"/>
          </w:tcPr>
          <w:p>
            <w:pPr>
              <w:autoSpaceDE w:val="0"/>
              <w:autoSpaceDN w:val="0"/>
              <w:adjustRightInd w:val="0"/>
              <w:rPr>
                <w:rFonts w:ascii="宋体" w:hAnsi="宋体" w:cs="宋体"/>
                <w:kern w:val="0"/>
                <w:sz w:val="20"/>
                <w:szCs w:val="20"/>
              </w:rPr>
            </w:pPr>
            <w:r>
              <w:rPr>
                <w:rFonts w:hint="eastAsia" w:ascii="宋体" w:hAnsi="宋体" w:cs="宋体"/>
                <w:kern w:val="0"/>
                <w:sz w:val="20"/>
                <w:szCs w:val="20"/>
              </w:rPr>
              <w:t>如设备/材料涉及深圳市或以上政府部门年度复检或其它检查，投标方应保证该设备设施一次性通过检测，检测费用由投标方承担</w:t>
            </w:r>
          </w:p>
        </w:tc>
        <w:tc>
          <w:tcPr>
            <w:tcW w:w="1995" w:type="dxa"/>
            <w:vAlign w:val="center"/>
          </w:tcPr>
          <w:p>
            <w:pPr>
              <w:autoSpaceDE w:val="0"/>
              <w:autoSpaceDN w:val="0"/>
              <w:adjustRightInd w:val="0"/>
              <w:spacing w:line="360" w:lineRule="exact"/>
              <w:jc w:val="center"/>
              <w:rPr>
                <w:rFonts w:ascii="宋体" w:hAnsi="宋体"/>
                <w:kern w:val="0"/>
                <w:sz w:val="20"/>
                <w:szCs w:val="20"/>
              </w:rPr>
            </w:pPr>
          </w:p>
        </w:tc>
        <w:tc>
          <w:tcPr>
            <w:tcW w:w="1792" w:type="dxa"/>
            <w:vAlign w:val="center"/>
          </w:tcPr>
          <w:p>
            <w:pPr>
              <w:autoSpaceDE w:val="0"/>
              <w:autoSpaceDN w:val="0"/>
              <w:adjustRightInd w:val="0"/>
              <w:spacing w:line="360" w:lineRule="exact"/>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38" w:type="dxa"/>
            <w:vAlign w:val="center"/>
          </w:tcPr>
          <w:p>
            <w:pPr>
              <w:autoSpaceDE w:val="0"/>
              <w:autoSpaceDN w:val="0"/>
              <w:adjustRightInd w:val="0"/>
              <w:spacing w:line="360" w:lineRule="exact"/>
              <w:jc w:val="center"/>
              <w:rPr>
                <w:rFonts w:ascii="宋体" w:hAnsi="宋体"/>
                <w:kern w:val="0"/>
                <w:sz w:val="20"/>
                <w:szCs w:val="20"/>
              </w:rPr>
            </w:pPr>
            <w:r>
              <w:rPr>
                <w:rFonts w:hint="eastAsia" w:ascii="宋体" w:hAnsi="宋体"/>
                <w:kern w:val="0"/>
                <w:sz w:val="20"/>
                <w:szCs w:val="20"/>
              </w:rPr>
              <w:t>7</w:t>
            </w:r>
          </w:p>
        </w:tc>
        <w:tc>
          <w:tcPr>
            <w:tcW w:w="4613" w:type="dxa"/>
          </w:tcPr>
          <w:p>
            <w:pPr>
              <w:autoSpaceDE w:val="0"/>
              <w:autoSpaceDN w:val="0"/>
              <w:adjustRightInd w:val="0"/>
              <w:rPr>
                <w:rFonts w:ascii="宋体" w:hAnsi="宋体" w:cs="宋体"/>
                <w:kern w:val="0"/>
                <w:sz w:val="20"/>
                <w:szCs w:val="20"/>
              </w:rPr>
            </w:pPr>
            <w:r>
              <w:rPr>
                <w:rFonts w:hint="eastAsia" w:ascii="宋体" w:hAnsi="宋体" w:cs="宋体"/>
                <w:kern w:val="0"/>
                <w:sz w:val="20"/>
                <w:szCs w:val="20"/>
              </w:rPr>
              <w:t>报障后维修时间：一般故障不超过</w:t>
            </w:r>
            <w:r>
              <w:rPr>
                <w:rFonts w:ascii="宋体" w:hAnsi="宋体" w:cs="宋体"/>
                <w:kern w:val="0"/>
                <w:sz w:val="20"/>
                <w:szCs w:val="20"/>
              </w:rPr>
              <w:t>24</w:t>
            </w:r>
            <w:r>
              <w:rPr>
                <w:rFonts w:hint="eastAsia" w:ascii="宋体" w:hAnsi="宋体" w:cs="宋体"/>
                <w:kern w:val="0"/>
                <w:sz w:val="20"/>
                <w:szCs w:val="20"/>
              </w:rPr>
              <w:t>小时，特殊情况不超过</w:t>
            </w:r>
            <w:r>
              <w:rPr>
                <w:rFonts w:ascii="宋体" w:hAnsi="宋体" w:cs="宋体"/>
                <w:kern w:val="0"/>
                <w:sz w:val="20"/>
                <w:szCs w:val="20"/>
              </w:rPr>
              <w:t>15</w:t>
            </w:r>
            <w:r>
              <w:rPr>
                <w:rFonts w:hint="eastAsia" w:ascii="宋体" w:hAnsi="宋体" w:cs="宋体"/>
                <w:kern w:val="0"/>
                <w:sz w:val="20"/>
                <w:szCs w:val="20"/>
              </w:rPr>
              <w:t>个工作日。如因材料或其他原因，在经过在招标方确认后可延期完成。</w:t>
            </w:r>
          </w:p>
        </w:tc>
        <w:tc>
          <w:tcPr>
            <w:tcW w:w="1995" w:type="dxa"/>
            <w:vAlign w:val="center"/>
          </w:tcPr>
          <w:p>
            <w:pPr>
              <w:autoSpaceDE w:val="0"/>
              <w:autoSpaceDN w:val="0"/>
              <w:adjustRightInd w:val="0"/>
              <w:spacing w:line="360" w:lineRule="exact"/>
              <w:jc w:val="center"/>
              <w:rPr>
                <w:rFonts w:ascii="宋体" w:hAnsi="宋体"/>
                <w:kern w:val="0"/>
                <w:sz w:val="20"/>
                <w:szCs w:val="20"/>
              </w:rPr>
            </w:pPr>
          </w:p>
        </w:tc>
        <w:tc>
          <w:tcPr>
            <w:tcW w:w="1792" w:type="dxa"/>
            <w:vAlign w:val="center"/>
          </w:tcPr>
          <w:p>
            <w:pPr>
              <w:autoSpaceDE w:val="0"/>
              <w:autoSpaceDN w:val="0"/>
              <w:adjustRightInd w:val="0"/>
              <w:spacing w:line="360" w:lineRule="exact"/>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38" w:type="dxa"/>
            <w:vAlign w:val="center"/>
          </w:tcPr>
          <w:p>
            <w:pPr>
              <w:autoSpaceDE w:val="0"/>
              <w:autoSpaceDN w:val="0"/>
              <w:adjustRightInd w:val="0"/>
              <w:spacing w:line="360" w:lineRule="exact"/>
              <w:jc w:val="center"/>
              <w:rPr>
                <w:rFonts w:ascii="宋体" w:hAnsi="宋体"/>
                <w:kern w:val="0"/>
                <w:sz w:val="20"/>
                <w:szCs w:val="20"/>
              </w:rPr>
            </w:pPr>
            <w:r>
              <w:rPr>
                <w:rFonts w:hint="eastAsia" w:ascii="宋体" w:hAnsi="宋体"/>
                <w:kern w:val="0"/>
                <w:sz w:val="20"/>
                <w:szCs w:val="20"/>
              </w:rPr>
              <w:t>8</w:t>
            </w:r>
          </w:p>
        </w:tc>
        <w:tc>
          <w:tcPr>
            <w:tcW w:w="4613" w:type="dxa"/>
          </w:tcPr>
          <w:p>
            <w:pPr>
              <w:autoSpaceDE w:val="0"/>
              <w:autoSpaceDN w:val="0"/>
              <w:adjustRightInd w:val="0"/>
              <w:rPr>
                <w:rFonts w:ascii="宋体" w:hAnsi="宋体" w:cs="宋体"/>
                <w:kern w:val="0"/>
                <w:sz w:val="20"/>
                <w:szCs w:val="20"/>
              </w:rPr>
            </w:pPr>
            <w:r>
              <w:rPr>
                <w:rFonts w:hint="eastAsia" w:ascii="宋体" w:hAnsi="宋体" w:cs="宋体"/>
                <w:kern w:val="0"/>
                <w:sz w:val="20"/>
                <w:szCs w:val="20"/>
              </w:rPr>
              <w:t>紧急事故</w:t>
            </w:r>
            <w:r>
              <w:rPr>
                <w:rFonts w:ascii="宋体" w:hAnsi="宋体" w:cs="TimesNewRomanPSMT"/>
                <w:kern w:val="0"/>
                <w:sz w:val="20"/>
                <w:szCs w:val="20"/>
              </w:rPr>
              <w:t>4</w:t>
            </w:r>
            <w:r>
              <w:rPr>
                <w:rFonts w:hint="eastAsia" w:ascii="宋体" w:hAnsi="宋体" w:cs="宋体"/>
                <w:kern w:val="0"/>
                <w:sz w:val="20"/>
                <w:szCs w:val="20"/>
              </w:rPr>
              <w:t>小时内得到控制，</w:t>
            </w:r>
            <w:r>
              <w:rPr>
                <w:rFonts w:ascii="宋体" w:hAnsi="宋体" w:cs="TimesNewRomanPSMT"/>
                <w:kern w:val="0"/>
                <w:sz w:val="20"/>
                <w:szCs w:val="20"/>
              </w:rPr>
              <w:t>8</w:t>
            </w:r>
            <w:r>
              <w:rPr>
                <w:rFonts w:hint="eastAsia" w:ascii="宋体" w:hAnsi="宋体" w:cs="宋体"/>
                <w:kern w:val="0"/>
                <w:sz w:val="20"/>
                <w:szCs w:val="20"/>
              </w:rPr>
              <w:t>小时内恢复或临时恢复服务供应，根据实际情况，</w:t>
            </w:r>
            <w:r>
              <w:rPr>
                <w:rFonts w:ascii="宋体" w:hAnsi="宋体" w:cs="TimesNewRomanPSMT"/>
                <w:kern w:val="0"/>
                <w:sz w:val="20"/>
                <w:szCs w:val="20"/>
              </w:rPr>
              <w:t>2</w:t>
            </w:r>
            <w:r>
              <w:rPr>
                <w:rFonts w:hint="eastAsia" w:ascii="宋体" w:hAnsi="宋体" w:cs="宋体"/>
                <w:kern w:val="0"/>
                <w:sz w:val="20"/>
                <w:szCs w:val="20"/>
              </w:rPr>
              <w:t>～</w:t>
            </w:r>
            <w:r>
              <w:rPr>
                <w:rFonts w:ascii="宋体" w:hAnsi="宋体" w:cs="TimesNewRomanPSMT"/>
                <w:kern w:val="0"/>
                <w:sz w:val="20"/>
                <w:szCs w:val="20"/>
              </w:rPr>
              <w:t>15</w:t>
            </w:r>
            <w:r>
              <w:rPr>
                <w:rFonts w:hint="eastAsia" w:ascii="宋体" w:hAnsi="宋体" w:cs="宋体"/>
                <w:kern w:val="0"/>
                <w:sz w:val="20"/>
                <w:szCs w:val="20"/>
              </w:rPr>
              <w:t>天内完成修复</w:t>
            </w:r>
          </w:p>
        </w:tc>
        <w:tc>
          <w:tcPr>
            <w:tcW w:w="1995" w:type="dxa"/>
            <w:vAlign w:val="center"/>
          </w:tcPr>
          <w:p>
            <w:pPr>
              <w:autoSpaceDE w:val="0"/>
              <w:autoSpaceDN w:val="0"/>
              <w:adjustRightInd w:val="0"/>
              <w:spacing w:line="360" w:lineRule="exact"/>
              <w:jc w:val="center"/>
              <w:rPr>
                <w:rFonts w:ascii="宋体" w:hAnsi="宋体"/>
                <w:kern w:val="0"/>
                <w:sz w:val="20"/>
                <w:szCs w:val="20"/>
              </w:rPr>
            </w:pPr>
          </w:p>
        </w:tc>
        <w:tc>
          <w:tcPr>
            <w:tcW w:w="1792" w:type="dxa"/>
            <w:vAlign w:val="center"/>
          </w:tcPr>
          <w:p>
            <w:pPr>
              <w:autoSpaceDE w:val="0"/>
              <w:autoSpaceDN w:val="0"/>
              <w:adjustRightInd w:val="0"/>
              <w:spacing w:line="360" w:lineRule="exact"/>
              <w:jc w:val="center"/>
              <w:rPr>
                <w:rFonts w:ascii="宋体" w:hAnsi="宋体"/>
                <w:kern w:val="0"/>
                <w:sz w:val="20"/>
                <w:szCs w:val="20"/>
              </w:rPr>
            </w:pPr>
          </w:p>
        </w:tc>
      </w:tr>
    </w:tbl>
    <w:p>
      <w:pPr>
        <w:snapToGrid w:val="0"/>
        <w:spacing w:before="120" w:beforeLines="50" w:after="120" w:afterLines="50" w:line="440" w:lineRule="exact"/>
        <w:ind w:right="1365" w:firstLine="420" w:firstLineChars="200"/>
        <w:rPr>
          <w:rFonts w:ascii="Arial Unicode MS" w:hAnsi="Arial Unicode MS" w:eastAsia="Times New Roman"/>
        </w:rPr>
      </w:pPr>
      <w:r>
        <w:rPr>
          <w:rFonts w:hint="eastAsia" w:ascii="宋体" w:hAnsi="宋体" w:cs="宋体"/>
        </w:rPr>
        <w:t>报价单位（公章）：</w:t>
      </w:r>
    </w:p>
    <w:p>
      <w:pPr>
        <w:snapToGrid w:val="0"/>
        <w:spacing w:before="120" w:beforeLines="50" w:after="120" w:afterLines="50" w:line="440" w:lineRule="exact"/>
        <w:ind w:right="945" w:firstLine="420" w:firstLineChars="200"/>
        <w:rPr>
          <w:rFonts w:ascii="Arial Unicode MS" w:hAnsi="Arial Unicode MS" w:eastAsia="Times New Roman"/>
        </w:rPr>
      </w:pPr>
      <w:r>
        <w:rPr>
          <w:rFonts w:hint="eastAsia" w:ascii="宋体" w:hAnsi="宋体" w:cs="宋体"/>
        </w:rPr>
        <w:t>法定代表人或授权代表签字：</w:t>
      </w:r>
    </w:p>
    <w:p>
      <w:pPr>
        <w:snapToGrid w:val="0"/>
        <w:spacing w:before="120" w:beforeLines="50" w:after="120" w:afterLines="50" w:line="440" w:lineRule="exact"/>
        <w:ind w:right="1365" w:firstLine="420" w:firstLineChars="200"/>
        <w:rPr>
          <w:rFonts w:hint="eastAsia" w:ascii="宋体" w:hAnsi="宋体" w:eastAsia="宋体" w:cs="宋体"/>
          <w:lang w:eastAsia="zh-CN"/>
        </w:rPr>
        <w:sectPr>
          <w:pgSz w:w="11906" w:h="16838"/>
          <w:pgMar w:top="1440" w:right="1123" w:bottom="1440" w:left="1123" w:header="851" w:footer="992" w:gutter="0"/>
          <w:cols w:space="720" w:num="1"/>
          <w:docGrid w:linePitch="312" w:charSpace="0"/>
        </w:sectPr>
      </w:pPr>
      <w:r>
        <w:rPr>
          <w:rFonts w:hint="eastAsia" w:ascii="宋体" w:hAnsi="宋体" w:cs="宋体"/>
        </w:rPr>
        <w:t>日期</w:t>
      </w:r>
      <w:r>
        <w:rPr>
          <w:rFonts w:hint="eastAsia" w:ascii="宋体" w:hAnsi="宋体" w:cs="宋体"/>
          <w:lang w:eastAsia="zh-CN"/>
        </w:rPr>
        <w:t>：</w:t>
      </w:r>
    </w:p>
    <w:p>
      <w:pPr>
        <w:spacing w:line="240" w:lineRule="atLeast"/>
        <w:rPr>
          <w:rFonts w:ascii="宋体" w:cs="宋体"/>
          <w:b/>
          <w:bCs/>
          <w:sz w:val="36"/>
          <w:szCs w:val="36"/>
        </w:rPr>
      </w:pPr>
    </w:p>
    <w:p>
      <w:pPr>
        <w:snapToGrid w:val="0"/>
        <w:spacing w:before="120" w:beforeLines="50" w:after="120" w:afterLines="50" w:line="440" w:lineRule="exact"/>
        <w:outlineLvl w:val="0"/>
        <w:rPr>
          <w:rFonts w:ascii="宋体" w:hAnsi="宋体" w:cs="宋体"/>
          <w:b/>
          <w:bCs/>
          <w:sz w:val="30"/>
          <w:szCs w:val="30"/>
        </w:rPr>
      </w:pPr>
      <w:r>
        <w:rPr>
          <w:rFonts w:hint="eastAsia" w:ascii="宋体" w:hAnsi="宋体" w:cs="宋体"/>
          <w:b/>
          <w:bCs/>
          <w:sz w:val="30"/>
          <w:szCs w:val="30"/>
        </w:rPr>
        <w:t>附件二：品牌表：</w:t>
      </w:r>
    </w:p>
    <w:p>
      <w:pPr>
        <w:spacing w:line="240" w:lineRule="atLeast"/>
        <w:ind w:firstLine="723" w:firstLineChars="200"/>
        <w:rPr>
          <w:rFonts w:ascii="宋体" w:cs="宋体"/>
          <w:b/>
          <w:bCs/>
          <w:sz w:val="36"/>
          <w:szCs w:val="36"/>
        </w:rPr>
      </w:pPr>
    </w:p>
    <w:tbl>
      <w:tblPr>
        <w:tblStyle w:val="24"/>
        <w:tblW w:w="1155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536"/>
        <w:gridCol w:w="5794"/>
        <w:gridCol w:w="12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0" w:hRule="atLeast"/>
          <w:jc w:val="center"/>
        </w:trPr>
        <w:tc>
          <w:tcPr>
            <w:tcW w:w="4536" w:type="dxa"/>
            <w:vAlign w:val="center"/>
          </w:tcPr>
          <w:p>
            <w:pPr>
              <w:pStyle w:val="49"/>
              <w:jc w:val="center"/>
              <w:rPr>
                <w:rFonts w:ascii="黑体" w:hAnsi="黑体" w:eastAsia="黑体"/>
                <w:szCs w:val="21"/>
              </w:rPr>
            </w:pPr>
            <w:r>
              <w:rPr>
                <w:rFonts w:hint="eastAsia" w:ascii="黑体" w:hAnsi="黑体" w:eastAsia="黑体"/>
                <w:szCs w:val="21"/>
              </w:rPr>
              <w:t>材料</w:t>
            </w:r>
          </w:p>
        </w:tc>
        <w:tc>
          <w:tcPr>
            <w:tcW w:w="5794" w:type="dxa"/>
            <w:vAlign w:val="center"/>
          </w:tcPr>
          <w:p>
            <w:pPr>
              <w:pStyle w:val="49"/>
              <w:jc w:val="center"/>
              <w:rPr>
                <w:rFonts w:ascii="黑体" w:hAnsi="黑体" w:eastAsia="黑体"/>
                <w:szCs w:val="21"/>
              </w:rPr>
            </w:pPr>
            <w:r>
              <w:rPr>
                <w:rFonts w:hint="eastAsia" w:ascii="黑体" w:hAnsi="黑体" w:eastAsia="黑体"/>
                <w:szCs w:val="21"/>
              </w:rPr>
              <w:t>推荐品牌</w:t>
            </w:r>
          </w:p>
        </w:tc>
        <w:tc>
          <w:tcPr>
            <w:tcW w:w="1226" w:type="dxa"/>
            <w:vAlign w:val="center"/>
          </w:tcPr>
          <w:p>
            <w:pPr>
              <w:pStyle w:val="49"/>
              <w:jc w:val="center"/>
              <w:rPr>
                <w:rFonts w:ascii="黑体" w:hAnsi="黑体" w:eastAsia="黑体"/>
                <w:szCs w:val="21"/>
              </w:rPr>
            </w:pPr>
            <w:r>
              <w:rPr>
                <w:rFonts w:hint="eastAsia" w:ascii="黑体" w:hAnsi="黑体" w:eastAsia="黑体"/>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3" w:hRule="atLeast"/>
          <w:jc w:val="center"/>
        </w:trPr>
        <w:tc>
          <w:tcPr>
            <w:tcW w:w="4536" w:type="dxa"/>
            <w:vAlign w:val="center"/>
          </w:tcPr>
          <w:p>
            <w:pPr>
              <w:widowControl/>
              <w:jc w:val="center"/>
              <w:textAlignment w:val="center"/>
              <w:rPr>
                <w:rFonts w:hint="eastAsia" w:eastAsia="宋体"/>
                <w:lang w:eastAsia="zh-CN"/>
              </w:rPr>
            </w:pPr>
            <w:r>
              <w:rPr>
                <w:rFonts w:hint="eastAsia" w:ascii="黑体" w:hAnsi="黑体" w:eastAsia="黑体"/>
                <w:lang w:eastAsia="zh-CN"/>
              </w:rPr>
              <w:t>变压器</w:t>
            </w:r>
          </w:p>
        </w:tc>
        <w:tc>
          <w:tcPr>
            <w:tcW w:w="5794" w:type="dxa"/>
            <w:vAlign w:val="center"/>
          </w:tcPr>
          <w:p>
            <w:pPr>
              <w:keepNext w:val="0"/>
              <w:keepLines w:val="0"/>
              <w:widowControl/>
              <w:suppressLineNumbers w:val="0"/>
              <w:ind w:firstLine="602" w:firstLineChars="300"/>
              <w:jc w:val="both"/>
              <w:rPr>
                <w:rFonts w:ascii="TimesNewRomanPSMT" w:eastAsia="TimesNewRomanPSMT" w:cs="TimesNewRomanPSMT"/>
                <w:kern w:val="0"/>
                <w:sz w:val="20"/>
                <w:szCs w:val="20"/>
              </w:rPr>
            </w:pPr>
            <w:r>
              <w:rPr>
                <w:rFonts w:hint="default" w:ascii="Times New Roman" w:hAnsi="Times New Roman" w:eastAsia="宋体" w:cs="Times New Roman"/>
                <w:b/>
                <w:bCs/>
                <w:color w:val="000000"/>
                <w:kern w:val="0"/>
                <w:sz w:val="20"/>
                <w:szCs w:val="20"/>
                <w:lang w:val="en-US" w:eastAsia="zh-CN" w:bidi="ar"/>
              </w:rPr>
              <w:t>ABB</w:t>
            </w:r>
            <w:r>
              <w:rPr>
                <w:rFonts w:hint="eastAsia" w:ascii="宋体" w:hAnsi="宋体" w:eastAsia="宋体" w:cs="宋体"/>
                <w:b/>
                <w:bCs/>
                <w:color w:val="000000"/>
                <w:kern w:val="0"/>
                <w:sz w:val="20"/>
                <w:szCs w:val="20"/>
                <w:lang w:val="en-US" w:eastAsia="zh-CN" w:bidi="ar"/>
              </w:rPr>
              <w:t>、</w:t>
            </w:r>
            <w:r>
              <w:rPr>
                <w:rFonts w:hint="default" w:ascii="Times New Roman" w:hAnsi="Times New Roman" w:eastAsia="宋体" w:cs="Times New Roman"/>
                <w:b/>
                <w:bCs/>
                <w:color w:val="000000"/>
                <w:kern w:val="0"/>
                <w:sz w:val="20"/>
                <w:szCs w:val="20"/>
                <w:lang w:val="en-US" w:eastAsia="zh-CN" w:bidi="ar"/>
              </w:rPr>
              <w:t>GE</w:t>
            </w:r>
            <w:r>
              <w:rPr>
                <w:rFonts w:hint="eastAsia" w:ascii="宋体" w:hAnsi="宋体" w:eastAsia="宋体" w:cs="宋体"/>
                <w:b/>
                <w:bCs/>
                <w:color w:val="000000"/>
                <w:kern w:val="0"/>
                <w:sz w:val="20"/>
                <w:szCs w:val="20"/>
                <w:lang w:val="en-US" w:eastAsia="zh-CN" w:bidi="ar"/>
              </w:rPr>
              <w:t>、施耐德、海南金盘、山东达驰、中电电气</w:t>
            </w:r>
          </w:p>
        </w:tc>
        <w:tc>
          <w:tcPr>
            <w:tcW w:w="1226" w:type="dxa"/>
            <w:vAlign w:val="center"/>
          </w:tcPr>
          <w:p>
            <w:pPr>
              <w:pStyle w:val="49"/>
              <w:jc w:val="center"/>
              <w:rPr>
                <w:rFonts w:ascii="黑体" w:hAnsi="黑体" w:eastAsia="黑体"/>
                <w:szCs w:val="21"/>
              </w:rPr>
            </w:pPr>
          </w:p>
        </w:tc>
      </w:tr>
    </w:tbl>
    <w:p>
      <w:pPr>
        <w:snapToGrid w:val="0"/>
        <w:spacing w:before="120" w:beforeLines="50" w:after="120" w:afterLines="50" w:line="440" w:lineRule="exact"/>
        <w:ind w:right="1365" w:firstLine="420" w:firstLineChars="200"/>
        <w:rPr>
          <w:rFonts w:ascii="宋体" w:hAnsi="宋体" w:cs="宋体"/>
        </w:rPr>
      </w:pPr>
    </w:p>
    <w:p>
      <w:pPr>
        <w:snapToGrid w:val="0"/>
        <w:spacing w:before="120" w:beforeLines="50" w:after="120" w:afterLines="50" w:line="440" w:lineRule="exact"/>
        <w:ind w:right="1365" w:firstLine="420" w:firstLineChars="200"/>
        <w:rPr>
          <w:rFonts w:ascii="宋体" w:hAnsi="宋体" w:cs="宋体"/>
        </w:rPr>
      </w:pPr>
    </w:p>
    <w:p>
      <w:pPr>
        <w:snapToGrid w:val="0"/>
        <w:spacing w:before="120" w:beforeLines="50" w:after="120" w:afterLines="50" w:line="440" w:lineRule="exact"/>
        <w:ind w:right="1365" w:firstLine="420" w:firstLineChars="200"/>
        <w:rPr>
          <w:rFonts w:ascii="宋体" w:hAnsi="宋体" w:cs="宋体"/>
        </w:rPr>
      </w:pPr>
    </w:p>
    <w:p>
      <w:pPr>
        <w:snapToGrid w:val="0"/>
        <w:spacing w:before="120" w:beforeLines="50" w:after="120" w:afterLines="50" w:line="440" w:lineRule="exact"/>
        <w:ind w:right="1365" w:firstLine="420" w:firstLineChars="200"/>
        <w:rPr>
          <w:rFonts w:ascii="宋体" w:hAnsi="宋体" w:cs="宋体"/>
        </w:rPr>
      </w:pPr>
    </w:p>
    <w:p>
      <w:pPr>
        <w:snapToGrid w:val="0"/>
        <w:spacing w:before="120" w:beforeLines="50" w:after="120" w:afterLines="50" w:line="440" w:lineRule="exact"/>
        <w:ind w:right="1365" w:firstLine="420" w:firstLineChars="200"/>
        <w:rPr>
          <w:rFonts w:ascii="宋体" w:hAnsi="宋体" w:cs="宋体"/>
        </w:rPr>
      </w:pPr>
    </w:p>
    <w:p>
      <w:pPr>
        <w:snapToGrid w:val="0"/>
        <w:spacing w:before="120" w:beforeLines="50" w:after="120" w:afterLines="50" w:line="440" w:lineRule="exact"/>
        <w:ind w:right="1365" w:firstLine="420" w:firstLineChars="200"/>
        <w:rPr>
          <w:rFonts w:ascii="宋体" w:hAnsi="宋体" w:cs="宋体"/>
        </w:rPr>
      </w:pPr>
    </w:p>
    <w:p>
      <w:pPr>
        <w:snapToGrid w:val="0"/>
        <w:spacing w:before="120" w:beforeLines="50" w:after="120" w:afterLines="50" w:line="440" w:lineRule="exact"/>
        <w:ind w:right="1365" w:firstLine="420" w:firstLineChars="200"/>
        <w:rPr>
          <w:rFonts w:ascii="宋体" w:hAnsi="宋体" w:cs="宋体"/>
        </w:rPr>
      </w:pPr>
    </w:p>
    <w:p>
      <w:pPr>
        <w:snapToGrid w:val="0"/>
        <w:spacing w:before="120" w:beforeLines="50" w:after="120" w:afterLines="50" w:line="440" w:lineRule="exact"/>
        <w:ind w:right="1365" w:firstLine="420" w:firstLineChars="200"/>
        <w:rPr>
          <w:rFonts w:ascii="宋体" w:hAnsi="宋体" w:cs="宋体"/>
        </w:rPr>
      </w:pPr>
    </w:p>
    <w:p>
      <w:pPr>
        <w:snapToGrid w:val="0"/>
        <w:spacing w:before="120" w:beforeLines="50" w:after="120" w:afterLines="50" w:line="440" w:lineRule="exact"/>
        <w:ind w:right="1365" w:firstLine="420" w:firstLineChars="200"/>
        <w:rPr>
          <w:rFonts w:ascii="宋体" w:hAnsi="宋体" w:cs="宋体"/>
        </w:rPr>
      </w:pPr>
    </w:p>
    <w:p>
      <w:pPr>
        <w:snapToGrid w:val="0"/>
        <w:spacing w:before="120" w:beforeLines="50" w:after="120" w:afterLines="50" w:line="440" w:lineRule="exact"/>
        <w:ind w:right="1365" w:firstLine="420" w:firstLineChars="200"/>
        <w:rPr>
          <w:rFonts w:ascii="宋体" w:hAnsi="宋体" w:cs="宋体"/>
        </w:rPr>
      </w:pPr>
    </w:p>
    <w:p>
      <w:pPr>
        <w:snapToGrid w:val="0"/>
        <w:spacing w:before="120" w:beforeLines="50" w:after="120" w:afterLines="50" w:line="440" w:lineRule="exact"/>
        <w:outlineLvl w:val="0"/>
        <w:rPr>
          <w:rFonts w:ascii="宋体" w:hAnsi="宋体" w:cs="宋体"/>
          <w:b/>
          <w:bCs/>
          <w:sz w:val="30"/>
          <w:szCs w:val="30"/>
        </w:rPr>
      </w:pPr>
      <w:r>
        <w:rPr>
          <w:rFonts w:hint="eastAsia" w:ascii="宋体" w:hAnsi="宋体" w:cs="宋体"/>
          <w:b/>
          <w:bCs/>
          <w:sz w:val="30"/>
          <w:szCs w:val="30"/>
        </w:rPr>
        <w:t>附件三：技术偏离表：</w:t>
      </w:r>
    </w:p>
    <w:tbl>
      <w:tblPr>
        <w:tblStyle w:val="24"/>
        <w:tblW w:w="13605" w:type="dxa"/>
        <w:tblInd w:w="0" w:type="dxa"/>
        <w:tblLayout w:type="fixed"/>
        <w:tblCellMar>
          <w:top w:w="0" w:type="dxa"/>
          <w:left w:w="108" w:type="dxa"/>
          <w:bottom w:w="0" w:type="dxa"/>
          <w:right w:w="108" w:type="dxa"/>
        </w:tblCellMar>
      </w:tblPr>
      <w:tblGrid>
        <w:gridCol w:w="852"/>
        <w:gridCol w:w="1370"/>
        <w:gridCol w:w="3021"/>
        <w:gridCol w:w="2981"/>
        <w:gridCol w:w="880"/>
        <w:gridCol w:w="820"/>
        <w:gridCol w:w="2381"/>
        <w:gridCol w:w="1300"/>
      </w:tblGrid>
      <w:tr>
        <w:tblPrEx>
          <w:tblCellMar>
            <w:top w:w="0" w:type="dxa"/>
            <w:left w:w="108" w:type="dxa"/>
            <w:bottom w:w="0" w:type="dxa"/>
            <w:right w:w="108" w:type="dxa"/>
          </w:tblCellMar>
        </w:tblPrEx>
        <w:trPr>
          <w:trHeight w:val="95" w:hRule="atLeast"/>
        </w:trPr>
        <w:tc>
          <w:tcPr>
            <w:tcW w:w="13600" w:type="dxa"/>
            <w:gridSpan w:val="8"/>
            <w:tcBorders>
              <w:top w:val="nil"/>
              <w:left w:val="nil"/>
              <w:bottom w:val="single" w:color="auto" w:sz="4" w:space="0"/>
              <w:right w:val="nil"/>
            </w:tcBorders>
            <w:vAlign w:val="center"/>
          </w:tcPr>
          <w:p>
            <w:pPr>
              <w:widowControl/>
              <w:ind w:firstLine="800" w:firstLineChars="200"/>
              <w:jc w:val="center"/>
              <w:textAlignment w:val="center"/>
              <w:rPr>
                <w:rFonts w:ascii="宋体" w:hAnsi="宋体" w:cs="宋体"/>
                <w:b/>
                <w:bCs/>
                <w:kern w:val="0"/>
                <w:sz w:val="48"/>
                <w:szCs w:val="48"/>
              </w:rPr>
            </w:pPr>
            <w:r>
              <w:rPr>
                <w:rFonts w:hint="eastAsia" w:ascii="宋体" w:hAnsi="宋体" w:cs="宋体"/>
                <w:color w:val="000000"/>
                <w:kern w:val="0"/>
                <w:sz w:val="40"/>
                <w:szCs w:val="40"/>
              </w:rPr>
              <w:t>技术参数偏离表</w:t>
            </w:r>
          </w:p>
        </w:tc>
      </w:tr>
      <w:tr>
        <w:tblPrEx>
          <w:tblCellMar>
            <w:top w:w="0" w:type="dxa"/>
            <w:left w:w="108" w:type="dxa"/>
            <w:bottom w:w="0" w:type="dxa"/>
            <w:right w:w="108" w:type="dxa"/>
          </w:tblCellMar>
        </w:tblPrEx>
        <w:trPr>
          <w:trHeight w:val="630" w:hRule="atLeast"/>
        </w:trPr>
        <w:tc>
          <w:tcPr>
            <w:tcW w:w="851" w:type="dxa"/>
            <w:tcBorders>
              <w:top w:val="nil"/>
              <w:left w:val="single" w:color="auto" w:sz="4" w:space="0"/>
              <w:bottom w:val="single" w:color="auto" w:sz="4" w:space="0"/>
              <w:right w:val="nil"/>
            </w:tcBorders>
            <w:vAlign w:val="center"/>
          </w:tcPr>
          <w:p>
            <w:pPr>
              <w:widowControl/>
              <w:jc w:val="center"/>
              <w:rPr>
                <w:rFonts w:ascii="宋体" w:hAnsi="宋体" w:cs="宋体"/>
                <w:b/>
                <w:bCs/>
                <w:kern w:val="0"/>
                <w:sz w:val="24"/>
                <w:szCs w:val="24"/>
              </w:rPr>
            </w:pPr>
            <w:r>
              <w:rPr>
                <w:rFonts w:hint="eastAsia" w:ascii="宋体" w:hAnsi="宋体" w:cs="宋体"/>
                <w:b/>
                <w:bCs/>
                <w:kern w:val="0"/>
                <w:sz w:val="18"/>
                <w:szCs w:val="18"/>
              </w:rPr>
              <w:t>序号</w:t>
            </w:r>
          </w:p>
        </w:tc>
        <w:tc>
          <w:tcPr>
            <w:tcW w:w="136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名称</w:t>
            </w:r>
          </w:p>
        </w:tc>
        <w:tc>
          <w:tcPr>
            <w:tcW w:w="3020" w:type="dxa"/>
            <w:tcBorders>
              <w:top w:val="nil"/>
              <w:left w:val="nil"/>
              <w:bottom w:val="single" w:color="auto" w:sz="4" w:space="0"/>
              <w:right w:val="nil"/>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招标规格/型号/材质/技术参数</w:t>
            </w:r>
          </w:p>
        </w:tc>
        <w:tc>
          <w:tcPr>
            <w:tcW w:w="2980" w:type="dxa"/>
            <w:tcBorders>
              <w:top w:val="nil"/>
              <w:left w:val="single" w:color="auto" w:sz="4" w:space="0"/>
              <w:bottom w:val="single" w:color="auto" w:sz="4" w:space="0"/>
              <w:right w:val="nil"/>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投标规格/型号/材质/技术参数</w:t>
            </w:r>
          </w:p>
        </w:tc>
        <w:tc>
          <w:tcPr>
            <w:tcW w:w="88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单位</w:t>
            </w:r>
          </w:p>
        </w:tc>
        <w:tc>
          <w:tcPr>
            <w:tcW w:w="820"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数量</w:t>
            </w:r>
          </w:p>
        </w:tc>
        <w:tc>
          <w:tcPr>
            <w:tcW w:w="2380" w:type="dxa"/>
            <w:tcBorders>
              <w:top w:val="nil"/>
              <w:left w:val="nil"/>
              <w:bottom w:val="single" w:color="auto" w:sz="4" w:space="0"/>
              <w:right w:val="nil"/>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材质及技术参数是否偏离，如偏离列出偏离项</w:t>
            </w:r>
          </w:p>
        </w:tc>
        <w:tc>
          <w:tcPr>
            <w:tcW w:w="1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备注</w:t>
            </w:r>
          </w:p>
        </w:tc>
      </w:tr>
      <w:tr>
        <w:tblPrEx>
          <w:tblCellMar>
            <w:top w:w="0" w:type="dxa"/>
            <w:left w:w="108" w:type="dxa"/>
            <w:bottom w:w="0" w:type="dxa"/>
            <w:right w:w="108" w:type="dxa"/>
          </w:tblCellMar>
        </w:tblPrEx>
        <w:trPr>
          <w:trHeight w:val="630" w:hRule="atLeast"/>
        </w:trPr>
        <w:tc>
          <w:tcPr>
            <w:tcW w:w="851"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w:t>
            </w:r>
          </w:p>
        </w:tc>
        <w:tc>
          <w:tcPr>
            <w:tcW w:w="136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p>
        </w:tc>
        <w:tc>
          <w:tcPr>
            <w:tcW w:w="3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p>
        </w:tc>
        <w:tc>
          <w:tcPr>
            <w:tcW w:w="29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p>
        </w:tc>
        <w:tc>
          <w:tcPr>
            <w:tcW w:w="8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p>
        </w:tc>
        <w:tc>
          <w:tcPr>
            <w:tcW w:w="8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p>
        </w:tc>
        <w:tc>
          <w:tcPr>
            <w:tcW w:w="238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p>
        </w:tc>
      </w:tr>
      <w:tr>
        <w:tblPrEx>
          <w:tblCellMar>
            <w:top w:w="0" w:type="dxa"/>
            <w:left w:w="108" w:type="dxa"/>
            <w:bottom w:w="0" w:type="dxa"/>
            <w:right w:w="108" w:type="dxa"/>
          </w:tblCellMar>
        </w:tblPrEx>
        <w:trPr>
          <w:trHeight w:val="630" w:hRule="atLeast"/>
        </w:trPr>
        <w:tc>
          <w:tcPr>
            <w:tcW w:w="851"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w:t>
            </w:r>
          </w:p>
        </w:tc>
        <w:tc>
          <w:tcPr>
            <w:tcW w:w="136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p>
        </w:tc>
        <w:tc>
          <w:tcPr>
            <w:tcW w:w="3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p>
        </w:tc>
        <w:tc>
          <w:tcPr>
            <w:tcW w:w="29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p>
        </w:tc>
        <w:tc>
          <w:tcPr>
            <w:tcW w:w="8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p>
        </w:tc>
        <w:tc>
          <w:tcPr>
            <w:tcW w:w="8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p>
        </w:tc>
        <w:tc>
          <w:tcPr>
            <w:tcW w:w="238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p>
        </w:tc>
      </w:tr>
      <w:tr>
        <w:tblPrEx>
          <w:tblCellMar>
            <w:top w:w="0" w:type="dxa"/>
            <w:left w:w="108" w:type="dxa"/>
            <w:bottom w:w="0" w:type="dxa"/>
            <w:right w:w="108" w:type="dxa"/>
          </w:tblCellMar>
        </w:tblPrEx>
        <w:trPr>
          <w:trHeight w:val="630" w:hRule="atLeast"/>
        </w:trPr>
        <w:tc>
          <w:tcPr>
            <w:tcW w:w="851"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w:t>
            </w:r>
          </w:p>
        </w:tc>
        <w:tc>
          <w:tcPr>
            <w:tcW w:w="136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p>
        </w:tc>
        <w:tc>
          <w:tcPr>
            <w:tcW w:w="3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p>
        </w:tc>
        <w:tc>
          <w:tcPr>
            <w:tcW w:w="29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p>
        </w:tc>
        <w:tc>
          <w:tcPr>
            <w:tcW w:w="8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p>
        </w:tc>
        <w:tc>
          <w:tcPr>
            <w:tcW w:w="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38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p>
        </w:tc>
      </w:tr>
      <w:tr>
        <w:tblPrEx>
          <w:tblCellMar>
            <w:top w:w="0" w:type="dxa"/>
            <w:left w:w="108" w:type="dxa"/>
            <w:bottom w:w="0" w:type="dxa"/>
            <w:right w:w="108" w:type="dxa"/>
          </w:tblCellMar>
        </w:tblPrEx>
        <w:trPr>
          <w:trHeight w:val="630" w:hRule="atLeast"/>
        </w:trPr>
        <w:tc>
          <w:tcPr>
            <w:tcW w:w="851"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w:t>
            </w:r>
          </w:p>
        </w:tc>
        <w:tc>
          <w:tcPr>
            <w:tcW w:w="136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p>
        </w:tc>
        <w:tc>
          <w:tcPr>
            <w:tcW w:w="3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p>
        </w:tc>
        <w:tc>
          <w:tcPr>
            <w:tcW w:w="29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p>
        </w:tc>
        <w:tc>
          <w:tcPr>
            <w:tcW w:w="8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p>
        </w:tc>
        <w:tc>
          <w:tcPr>
            <w:tcW w:w="8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p>
        </w:tc>
        <w:tc>
          <w:tcPr>
            <w:tcW w:w="238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p>
        </w:tc>
      </w:tr>
      <w:tr>
        <w:tblPrEx>
          <w:tblCellMar>
            <w:top w:w="0" w:type="dxa"/>
            <w:left w:w="108" w:type="dxa"/>
            <w:bottom w:w="0" w:type="dxa"/>
            <w:right w:w="108" w:type="dxa"/>
          </w:tblCellMar>
        </w:tblPrEx>
        <w:trPr>
          <w:trHeight w:val="630" w:hRule="atLeast"/>
        </w:trPr>
        <w:tc>
          <w:tcPr>
            <w:tcW w:w="851"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w:t>
            </w:r>
          </w:p>
        </w:tc>
        <w:tc>
          <w:tcPr>
            <w:tcW w:w="136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p>
        </w:tc>
        <w:tc>
          <w:tcPr>
            <w:tcW w:w="3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p>
        </w:tc>
        <w:tc>
          <w:tcPr>
            <w:tcW w:w="29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p>
        </w:tc>
        <w:tc>
          <w:tcPr>
            <w:tcW w:w="8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p>
        </w:tc>
        <w:tc>
          <w:tcPr>
            <w:tcW w:w="8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p>
        </w:tc>
        <w:tc>
          <w:tcPr>
            <w:tcW w:w="238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p>
        </w:tc>
      </w:tr>
      <w:tr>
        <w:tblPrEx>
          <w:tblCellMar>
            <w:top w:w="0" w:type="dxa"/>
            <w:left w:w="108" w:type="dxa"/>
            <w:bottom w:w="0" w:type="dxa"/>
            <w:right w:w="108" w:type="dxa"/>
          </w:tblCellMar>
        </w:tblPrEx>
        <w:trPr>
          <w:trHeight w:val="630" w:hRule="atLeast"/>
        </w:trPr>
        <w:tc>
          <w:tcPr>
            <w:tcW w:w="851"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w:t>
            </w:r>
          </w:p>
        </w:tc>
        <w:tc>
          <w:tcPr>
            <w:tcW w:w="136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p>
        </w:tc>
        <w:tc>
          <w:tcPr>
            <w:tcW w:w="3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p>
        </w:tc>
        <w:tc>
          <w:tcPr>
            <w:tcW w:w="29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p>
        </w:tc>
        <w:tc>
          <w:tcPr>
            <w:tcW w:w="8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p>
        </w:tc>
        <w:tc>
          <w:tcPr>
            <w:tcW w:w="8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p>
        </w:tc>
        <w:tc>
          <w:tcPr>
            <w:tcW w:w="238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p>
        </w:tc>
      </w:tr>
      <w:tr>
        <w:tblPrEx>
          <w:tblCellMar>
            <w:top w:w="0" w:type="dxa"/>
            <w:left w:w="108" w:type="dxa"/>
            <w:bottom w:w="0" w:type="dxa"/>
            <w:right w:w="108" w:type="dxa"/>
          </w:tblCellMar>
        </w:tblPrEx>
        <w:trPr>
          <w:trHeight w:val="630" w:hRule="atLeast"/>
        </w:trPr>
        <w:tc>
          <w:tcPr>
            <w:tcW w:w="851"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w:t>
            </w:r>
          </w:p>
        </w:tc>
        <w:tc>
          <w:tcPr>
            <w:tcW w:w="136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p>
        </w:tc>
        <w:tc>
          <w:tcPr>
            <w:tcW w:w="30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p>
        </w:tc>
        <w:tc>
          <w:tcPr>
            <w:tcW w:w="29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p>
        </w:tc>
        <w:tc>
          <w:tcPr>
            <w:tcW w:w="8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p>
        </w:tc>
        <w:tc>
          <w:tcPr>
            <w:tcW w:w="8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p>
        </w:tc>
        <w:tc>
          <w:tcPr>
            <w:tcW w:w="238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p>
        </w:tc>
      </w:tr>
      <w:tr>
        <w:tblPrEx>
          <w:tblCellMar>
            <w:top w:w="0" w:type="dxa"/>
            <w:left w:w="108" w:type="dxa"/>
            <w:bottom w:w="0" w:type="dxa"/>
            <w:right w:w="108" w:type="dxa"/>
          </w:tblCellMar>
        </w:tblPrEx>
        <w:trPr>
          <w:trHeight w:val="420" w:hRule="atLeast"/>
        </w:trPr>
        <w:tc>
          <w:tcPr>
            <w:tcW w:w="13600" w:type="dxa"/>
            <w:gridSpan w:val="8"/>
            <w:tcBorders>
              <w:top w:val="single" w:color="auto" w:sz="4" w:space="0"/>
              <w:left w:val="nil"/>
              <w:bottom w:val="nil"/>
              <w:right w:val="nil"/>
            </w:tcBorders>
            <w:noWrap/>
            <w:vAlign w:val="center"/>
          </w:tcPr>
          <w:p>
            <w:pPr>
              <w:widowControl/>
              <w:jc w:val="left"/>
              <w:rPr>
                <w:rFonts w:ascii="宋体" w:hAnsi="宋体" w:cs="宋体"/>
                <w:b/>
                <w:bCs/>
                <w:kern w:val="0"/>
                <w:sz w:val="24"/>
                <w:szCs w:val="24"/>
              </w:rPr>
            </w:pPr>
          </w:p>
        </w:tc>
      </w:tr>
      <w:tr>
        <w:tblPrEx>
          <w:tblCellMar>
            <w:top w:w="0" w:type="dxa"/>
            <w:left w:w="108" w:type="dxa"/>
            <w:bottom w:w="0" w:type="dxa"/>
            <w:right w:w="108" w:type="dxa"/>
          </w:tblCellMar>
        </w:tblPrEx>
        <w:trPr>
          <w:trHeight w:val="1522" w:hRule="atLeast"/>
        </w:trPr>
        <w:tc>
          <w:tcPr>
            <w:tcW w:w="12300" w:type="dxa"/>
            <w:gridSpan w:val="7"/>
            <w:tcBorders>
              <w:top w:val="nil"/>
              <w:left w:val="nil"/>
              <w:bottom w:val="nil"/>
              <w:right w:val="nil"/>
            </w:tcBorders>
            <w:noWrap/>
            <w:vAlign w:val="bottom"/>
          </w:tcPr>
          <w:p>
            <w:pPr>
              <w:widowControl/>
              <w:ind w:firstLine="420" w:firstLineChars="200"/>
              <w:jc w:val="left"/>
              <w:rPr>
                <w:rFonts w:ascii="宋体" w:hAnsi="宋体" w:cs="宋体"/>
                <w:color w:val="000000"/>
                <w:kern w:val="0"/>
              </w:rPr>
            </w:pPr>
            <w:r>
              <w:rPr>
                <w:rFonts w:hint="eastAsia" w:ascii="宋体" w:hAnsi="宋体" w:cs="宋体"/>
                <w:color w:val="000000"/>
                <w:kern w:val="0"/>
              </w:rPr>
              <w:t>报价人（公章）：</w:t>
            </w:r>
            <w:r>
              <w:rPr>
                <w:rFonts w:hint="eastAsia" w:ascii="宋体" w:hAnsi="宋体" w:cs="宋体"/>
                <w:color w:val="000000"/>
                <w:kern w:val="0"/>
              </w:rPr>
              <w:br w:type="textWrapping"/>
            </w:r>
          </w:p>
          <w:p>
            <w:pPr>
              <w:widowControl/>
              <w:ind w:firstLine="420" w:firstLineChars="200"/>
              <w:jc w:val="left"/>
              <w:rPr>
                <w:rFonts w:ascii="宋体" w:hAnsi="宋体" w:cs="宋体"/>
                <w:b/>
                <w:bCs/>
                <w:kern w:val="0"/>
                <w:sz w:val="24"/>
                <w:szCs w:val="24"/>
              </w:rPr>
            </w:pPr>
            <w:r>
              <w:rPr>
                <w:rFonts w:hint="eastAsia" w:ascii="宋体" w:hAnsi="宋体" w:cs="宋体"/>
                <w:color w:val="000000"/>
                <w:kern w:val="0"/>
              </w:rPr>
              <w:t>法定代表人或授权代表签字：日期：</w:t>
            </w:r>
          </w:p>
        </w:tc>
        <w:tc>
          <w:tcPr>
            <w:tcW w:w="1300" w:type="dxa"/>
            <w:tcBorders>
              <w:top w:val="nil"/>
              <w:left w:val="nil"/>
              <w:bottom w:val="nil"/>
              <w:right w:val="nil"/>
            </w:tcBorders>
            <w:noWrap/>
            <w:vAlign w:val="center"/>
          </w:tcPr>
          <w:p>
            <w:pPr>
              <w:widowControl/>
              <w:jc w:val="left"/>
              <w:rPr>
                <w:rFonts w:ascii="宋体" w:hAnsi="宋体" w:cs="宋体"/>
                <w:b/>
                <w:bCs/>
                <w:kern w:val="0"/>
                <w:sz w:val="24"/>
                <w:szCs w:val="24"/>
              </w:rPr>
            </w:pPr>
          </w:p>
        </w:tc>
      </w:tr>
    </w:tbl>
    <w:p>
      <w:pPr>
        <w:rPr>
          <w:rFonts w:ascii="Arial Unicode MS" w:hAnsi="Arial Unicode MS" w:cs="Arial Unicode MS"/>
        </w:rPr>
      </w:pPr>
    </w:p>
    <w:sectPr>
      <w:headerReference r:id="rId12" w:type="default"/>
      <w:pgSz w:w="16838" w:h="11906" w:orient="landscape"/>
      <w:pgMar w:top="1123" w:right="1440" w:bottom="1123"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细圆简体">
    <w:altName w:val="宋体"/>
    <w:panose1 w:val="00000000000000000000"/>
    <w:charset w:val="86"/>
    <w:family w:val="auto"/>
    <w:pitch w:val="default"/>
    <w:sig w:usb0="00000000" w:usb1="00000000" w:usb2="00000010" w:usb3="00000000" w:csb0="00040000" w:csb1="00000000"/>
  </w:font>
  <w:font w:name="Cambria">
    <w:altName w:val="Segoe Print"/>
    <w:panose1 w:val="02040503050406030204"/>
    <w:charset w:val="00"/>
    <w:family w:val="roman"/>
    <w:pitch w:val="default"/>
    <w:sig w:usb0="00000000" w:usb1="00000000" w:usb2="02000000" w:usb3="00000000" w:csb0="0000019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w:rPr>
        <w:rStyle w:val="27"/>
        <w:rFonts w:hint="eastAsia" w:cs="宋体"/>
      </w:rPr>
      <w:t>第</w:t>
    </w:r>
    <w:r>
      <w:fldChar w:fldCharType="begin"/>
    </w:r>
    <w:r>
      <w:rPr>
        <w:rStyle w:val="27"/>
      </w:rPr>
      <w:instrText xml:space="preserve"> PAGE </w:instrText>
    </w:r>
    <w:r>
      <w:fldChar w:fldCharType="separate"/>
    </w:r>
    <w:r>
      <w:rPr>
        <w:rStyle w:val="27"/>
      </w:rPr>
      <w:t>2</w:t>
    </w:r>
    <w:r>
      <w:fldChar w:fldCharType="end"/>
    </w:r>
    <w:r>
      <w:rPr>
        <w:rStyle w:val="27"/>
        <w:rFonts w:hint="eastAsia" w:cs="宋体"/>
      </w:rPr>
      <w:t>页</w:t>
    </w:r>
    <w:r>
      <w:rPr>
        <w:rStyle w:val="27"/>
      </w:rPr>
      <w:t>/</w:t>
    </w:r>
    <w:r>
      <w:rPr>
        <w:rStyle w:val="27"/>
        <w:rFonts w:hint="eastAsia" w:cs="宋体"/>
      </w:rPr>
      <w:t>共</w:t>
    </w:r>
    <w:r>
      <w:fldChar w:fldCharType="begin"/>
    </w:r>
    <w:r>
      <w:rPr>
        <w:rStyle w:val="27"/>
      </w:rPr>
      <w:instrText xml:space="preserve"> NUMPAGES </w:instrText>
    </w:r>
    <w:r>
      <w:fldChar w:fldCharType="separate"/>
    </w:r>
    <w:r>
      <w:rPr>
        <w:rStyle w:val="27"/>
      </w:rPr>
      <w:t>59</w:t>
    </w:r>
    <w:r>
      <w:fldChar w:fldCharType="end"/>
    </w:r>
    <w:r>
      <w:rPr>
        <w:rFonts w:hint="eastAsia" w:cs="宋体"/>
        <w:kern w:val="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rPr>
                              <w:rFonts w:hint="eastAsia"/>
                              <w:lang w:val="en-US" w:eastAsia="zh-CN"/>
                            </w:rPr>
                            <w:t>21</w:t>
                          </w:r>
                          <w:r>
                            <w:rPr>
                              <w:rFonts w:hint="eastAsia"/>
                            </w:rPr>
                            <w:t>页</w:t>
                          </w:r>
                        </w:p>
                      </w:txbxContent>
                    </wps:txbx>
                    <wps:bodyPr wrap="none" lIns="0" tIns="0" rIns="0" bIns="0" upright="1">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jUcQI7IB&#10;AABOAwAADgAAAAAAAAABACAAAAAeAQAAZHJzL2Uyb0RvYy54bWxQSwUGAAAAAAYABgBZAQAAQgUA&#10;AAAA&#10;">
              <v:fill on="f" focussize="0,0"/>
              <v:stroke on="f"/>
              <v:imagedata o:title=""/>
              <o:lock v:ext="edit" aspectratio="f"/>
              <v:textbox inset="0mm,0mm,0mm,0mm" style="mso-fit-shape-to-text:t;">
                <w:txbxContent>
                  <w:p>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rPr>
                        <w:rFonts w:hint="eastAsia"/>
                        <w:lang w:val="en-US" w:eastAsia="zh-CN"/>
                      </w:rPr>
                      <w:t>21</w:t>
                    </w:r>
                    <w:r>
                      <w:rPr>
                        <w:rFonts w:hint="eastAsia"/>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 共 </w:t>
                          </w:r>
                          <w:r>
                            <w:rPr>
                              <w:rFonts w:hint="eastAsia"/>
                              <w:lang w:val="en-US" w:eastAsia="zh-CN"/>
                            </w:rPr>
                            <w:t>21</w:t>
                          </w:r>
                          <w:r>
                            <w:rPr>
                              <w:rFonts w:hint="eastAsia"/>
                            </w:rPr>
                            <w:t>页</w:t>
                          </w:r>
                        </w:p>
                      </w:txbxContent>
                    </wps:txbx>
                    <wps:bodyPr wrap="none" lIns="0" tIns="0" rIns="0" bIns="0" upright="1">
                      <a:spAutoFit/>
                    </wps:bodyPr>
                  </wps:wsp>
                </a:graphicData>
              </a:graphic>
            </wp:anchor>
          </w:drawing>
        </mc:Choice>
        <mc:Fallback>
          <w:pict>
            <v:shape id="文本框 2051"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6rxgXsQEA&#10;AE4DAAAOAAAAAAAAAAEAIAAAAB4BAABkcnMvZTJvRG9jLnhtbFBLBQYAAAAABgAGAFkBAABBBQAA&#10;AAA=&#10;">
              <v:fill on="f" focussize="0,0"/>
              <v:stroke on="f"/>
              <v:imagedata o:title=""/>
              <o:lock v:ext="edit" aspectratio="f"/>
              <v:textbox inset="0mm,0mm,0mm,0mm" style="mso-fit-shape-to-text:t;">
                <w:txbxContent>
                  <w:p>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 共 </w:t>
                    </w:r>
                    <w:r>
                      <w:rPr>
                        <w:rFonts w:hint="eastAsia"/>
                        <w:lang w:val="en-US" w:eastAsia="zh-CN"/>
                      </w:rPr>
                      <w:t>21</w:t>
                    </w:r>
                    <w:r>
                      <w:rPr>
                        <w:rFonts w:hint="eastAsia"/>
                      </w:rP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r>
                            <w:rPr>
                              <w:rFonts w:hint="eastAsia"/>
                            </w:rPr>
                            <w:t xml:space="preserve"> 页 共</w:t>
                          </w:r>
                          <w:r>
                            <w:rPr>
                              <w:rFonts w:hint="eastAsia"/>
                              <w:lang w:val="en-US" w:eastAsia="zh-CN"/>
                            </w:rPr>
                            <w:t>21</w:t>
                          </w:r>
                          <w:r>
                            <w:rPr>
                              <w:rFonts w:hint="eastAsia"/>
                            </w:rPr>
                            <w:t xml:space="preserve"> 页</w:t>
                          </w:r>
                        </w:p>
                      </w:txbxContent>
                    </wps:txbx>
                    <wps:bodyPr wrap="none" lIns="0" tIns="0" rIns="0" bIns="0" upright="1">
                      <a:spAutoFit/>
                    </wps:bodyPr>
                  </wps:wsp>
                </a:graphicData>
              </a:graphic>
            </wp:anchor>
          </w:drawing>
        </mc:Choice>
        <mc:Fallback>
          <w:pict>
            <v:shape id="文本框 2052" o:spid="_x0000_s1026" o:spt="202" type="#_x0000_t202" style="position:absolute;left:0pt;margin-top:0pt;height:144pt;width:144pt;mso-position-horizontal:center;mso-position-horizontal-relative:margin;mso-wrap-style:none;z-index:2516541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yKCWXsQEA&#10;AE4DAAAOAAAAAAAAAAEAIAAAAB4BAABkcnMvZTJvRG9jLnhtbFBLBQYAAAAABgAGAFkBAABBBQAA&#10;AAA=&#10;">
              <v:fill on="f" focussize="0,0"/>
              <v:stroke on="f"/>
              <v:imagedata o:title=""/>
              <o:lock v:ext="edit" aspectratio="f"/>
              <v:textbox inset="0mm,0mm,0mm,0mm" style="mso-fit-shape-to-text:t;">
                <w:txbxContent>
                  <w:p>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r>
                      <w:rPr>
                        <w:rFonts w:hint="eastAsia"/>
                      </w:rPr>
                      <w:t xml:space="preserve"> 页 共</w:t>
                    </w:r>
                    <w:r>
                      <w:rPr>
                        <w:rFonts w:hint="eastAsia"/>
                        <w:lang w:val="en-US" w:eastAsia="zh-CN"/>
                      </w:rPr>
                      <w:t>21</w:t>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11487"/>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0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rPr>
                              <w:rFonts w:hint="eastAsia"/>
                            </w:rPr>
                            <w:t xml:space="preserve">第 </w:t>
                          </w:r>
                          <w:r>
                            <w:fldChar w:fldCharType="begin"/>
                          </w:r>
                          <w:r>
                            <w:instrText xml:space="preserve"> PAGE  \* MERGEFORMAT </w:instrText>
                          </w:r>
                          <w:r>
                            <w:fldChar w:fldCharType="separate"/>
                          </w:r>
                          <w:r>
                            <w:t>32</w:t>
                          </w:r>
                          <w:r>
                            <w:fldChar w:fldCharType="end"/>
                          </w:r>
                          <w:r>
                            <w:rPr>
                              <w:rFonts w:hint="eastAsia"/>
                            </w:rPr>
                            <w:t xml:space="preserve"> 页 共</w:t>
                          </w:r>
                          <w:r>
                            <w:t>2</w:t>
                          </w:r>
                          <w:r>
                            <w:rPr>
                              <w:rFonts w:hint="eastAsia"/>
                              <w:lang w:val="en-US" w:eastAsia="zh-CN"/>
                            </w:rPr>
                            <w:t>1</w:t>
                          </w:r>
                          <w:r>
                            <w:rPr>
                              <w:rFonts w:hint="eastAsia"/>
                            </w:rPr>
                            <w:t>页</w:t>
                          </w:r>
                        </w:p>
                      </w:txbxContent>
                    </wps:txbx>
                    <wps:bodyPr wrap="none" lIns="0" tIns="0" rIns="0" bIns="0" upright="1">
                      <a:spAutoFit/>
                    </wps:bodyPr>
                  </wps:wsp>
                </a:graphicData>
              </a:graphic>
            </wp:anchor>
          </w:drawing>
        </mc:Choice>
        <mc:Fallback>
          <w:pict>
            <v:shape id="文本框 205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QC8o3sQEA&#10;AE8DAAAOAAAAAAAAAAEAIAAAAB4BAABkcnMvZTJvRG9jLnhtbFBLBQYAAAAABgAGAFkBAABBBQAA&#10;AAA=&#10;">
              <v:fill on="f" focussize="0,0"/>
              <v:stroke on="f"/>
              <v:imagedata o:title=""/>
              <o:lock v:ext="edit" aspectratio="f"/>
              <v:textbox inset="0mm,0mm,0mm,0mm" style="mso-fit-shape-to-text:t;">
                <w:txbxContent>
                  <w:p>
                    <w:pPr>
                      <w:pStyle w:val="15"/>
                    </w:pPr>
                    <w:r>
                      <w:rPr>
                        <w:rFonts w:hint="eastAsia"/>
                      </w:rPr>
                      <w:t xml:space="preserve">第 </w:t>
                    </w:r>
                    <w:r>
                      <w:fldChar w:fldCharType="begin"/>
                    </w:r>
                    <w:r>
                      <w:instrText xml:space="preserve"> PAGE  \* MERGEFORMAT </w:instrText>
                    </w:r>
                    <w:r>
                      <w:fldChar w:fldCharType="separate"/>
                    </w:r>
                    <w:r>
                      <w:t>32</w:t>
                    </w:r>
                    <w:r>
                      <w:fldChar w:fldCharType="end"/>
                    </w:r>
                    <w:r>
                      <w:rPr>
                        <w:rFonts w:hint="eastAsia"/>
                      </w:rPr>
                      <w:t xml:space="preserve"> 页 共</w:t>
                    </w:r>
                    <w:r>
                      <w:t>2</w:t>
                    </w:r>
                    <w:r>
                      <w:rPr>
                        <w:rFonts w:hint="eastAsia"/>
                        <w:lang w:val="en-US" w:eastAsia="zh-CN"/>
                      </w:rPr>
                      <w:t>1</w:t>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cs="宋体"/>
      </w:rPr>
      <w:t>北京市海运仓危改小区（北京来福士广场）机电供应及安装工程</w:t>
    </w:r>
    <w:r>
      <w:tab/>
    </w:r>
    <w:r>
      <w:t xml:space="preserve">                        </w:t>
    </w:r>
    <w:r>
      <w:rPr>
        <w:rFonts w:hint="eastAsia" w:cs="宋体"/>
      </w:rPr>
      <w:t>一般排水泵招标文件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pPr>
    <w:r>
      <w:drawing>
        <wp:inline distT="0" distB="0" distL="114300" distR="114300">
          <wp:extent cx="379730" cy="379730"/>
          <wp:effectExtent l="0" t="0" r="1270" b="127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
                  <a:stretch>
                    <a:fillRect/>
                  </a:stretch>
                </pic:blipFill>
                <pic:spPr>
                  <a:xfrm>
                    <a:off x="0" y="0"/>
                    <a:ext cx="379730" cy="379730"/>
                  </a:xfrm>
                  <a:prstGeom prst="rect">
                    <a:avLst/>
                  </a:prstGeom>
                  <a:noFill/>
                  <a:ln>
                    <a:noFill/>
                  </a:ln>
                </pic:spPr>
              </pic:pic>
            </a:graphicData>
          </a:graphic>
        </wp:inline>
      </w:drawing>
    </w:r>
    <w:r>
      <w:rPr>
        <w:rFonts w:hint="eastAsia"/>
        <w:lang w:val="en-US" w:eastAsia="zh-CN"/>
      </w:rPr>
      <w:t>中</w:t>
    </w:r>
    <w:r>
      <w:rPr>
        <w:rFonts w:hint="eastAsia" w:cs="宋体"/>
      </w:rPr>
      <w:t xml:space="preserve">国建筑一局（集团）有限公司                                  </w:t>
    </w:r>
    <w:r>
      <w:rPr>
        <w:rFonts w:hint="eastAsia" w:cs="宋体"/>
        <w:lang w:val="en-US" w:eastAsia="zh-CN"/>
      </w:rPr>
      <w:t xml:space="preserve">   </w:t>
    </w:r>
    <w:r>
      <w:rPr>
        <w:rFonts w:hint="eastAsia" w:cs="宋体"/>
      </w:rPr>
      <w:t xml:space="preserve"> </w:t>
    </w:r>
    <w:r>
      <w:rPr>
        <w:rFonts w:hint="eastAsia" w:cs="宋体"/>
        <w:lang w:val="en-US" w:eastAsia="zh-CN"/>
      </w:rPr>
      <w:t xml:space="preserve">   变压器</w:t>
    </w:r>
    <w:r>
      <w:rPr>
        <w:rFonts w:hint="eastAsia" w:cs="宋体"/>
      </w:rPr>
      <w:t>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pPr>
    <w:r>
      <w:drawing>
        <wp:inline distT="0" distB="0" distL="114300" distR="114300">
          <wp:extent cx="379730" cy="379730"/>
          <wp:effectExtent l="0" t="0" r="1270" b="127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1"/>
                  <a:stretch>
                    <a:fillRect/>
                  </a:stretch>
                </pic:blipFill>
                <pic:spPr>
                  <a:xfrm>
                    <a:off x="0" y="0"/>
                    <a:ext cx="379730" cy="379730"/>
                  </a:xfrm>
                  <a:prstGeom prst="rect">
                    <a:avLst/>
                  </a:prstGeom>
                  <a:noFill/>
                  <a:ln>
                    <a:noFill/>
                  </a:ln>
                </pic:spPr>
              </pic:pic>
            </a:graphicData>
          </a:graphic>
        </wp:inline>
      </w:drawing>
    </w:r>
    <w:r>
      <w:rPr>
        <w:rFonts w:hint="eastAsia" w:cs="宋体"/>
      </w:rPr>
      <w:t xml:space="preserve">中国建筑一局（集团）有限公司                                  </w:t>
    </w:r>
    <w:r>
      <w:rPr>
        <w:rFonts w:hint="eastAsia" w:cs="宋体"/>
        <w:lang w:val="en-US" w:eastAsia="zh-CN"/>
      </w:rPr>
      <w:t xml:space="preserve">   </w:t>
    </w:r>
    <w:r>
      <w:rPr>
        <w:rFonts w:hint="eastAsia" w:cs="宋体"/>
      </w:rPr>
      <w:t xml:space="preserve"> </w:t>
    </w:r>
    <w:r>
      <w:rPr>
        <w:rFonts w:hint="eastAsia" w:cs="宋体"/>
        <w:lang w:val="en-US" w:eastAsia="zh-CN"/>
      </w:rPr>
      <w:t xml:space="preserve">                                          变压器</w:t>
    </w:r>
    <w:r>
      <w:rPr>
        <w:rFonts w:hint="eastAsia" w:cs="宋体"/>
      </w:rPr>
      <w:t>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614FEB"/>
    <w:multiLevelType w:val="singleLevel"/>
    <w:tmpl w:val="A8614FEB"/>
    <w:lvl w:ilvl="0" w:tentative="0">
      <w:start w:val="2"/>
      <w:numFmt w:val="chineseCounting"/>
      <w:suff w:val="nothing"/>
      <w:lvlText w:val="%1、"/>
      <w:lvlJc w:val="left"/>
      <w:rPr>
        <w:rFonts w:hint="eastAsia"/>
      </w:rPr>
    </w:lvl>
  </w:abstractNum>
  <w:abstractNum w:abstractNumId="1">
    <w:nsid w:val="065472EC"/>
    <w:multiLevelType w:val="multilevel"/>
    <w:tmpl w:val="065472E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8C2257F"/>
    <w:multiLevelType w:val="multilevel"/>
    <w:tmpl w:val="08C2257F"/>
    <w:lvl w:ilvl="0" w:tentative="0">
      <w:start w:val="1"/>
      <w:numFmt w:val="japaneseCounting"/>
      <w:lvlText w:val="%1、"/>
      <w:lvlJc w:val="left"/>
      <w:pPr>
        <w:ind w:left="102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4934E72"/>
    <w:multiLevelType w:val="multilevel"/>
    <w:tmpl w:val="24934E72"/>
    <w:lvl w:ilvl="0" w:tentative="0">
      <w:start w:val="1"/>
      <w:numFmt w:val="decimal"/>
      <w:lvlText w:val="%1、"/>
      <w:lvlJc w:val="left"/>
      <w:pPr>
        <w:tabs>
          <w:tab w:val="left" w:pos="840"/>
        </w:tabs>
        <w:ind w:left="840" w:hanging="360"/>
      </w:pPr>
      <w:rPr>
        <w:rFonts w:hint="default"/>
      </w:rPr>
    </w:lvl>
    <w:lvl w:ilvl="1" w:tentative="0">
      <w:start w:val="1"/>
      <w:numFmt w:val="decimal"/>
      <w:lvlText w:val="%2．"/>
      <w:lvlJc w:val="left"/>
      <w:pPr>
        <w:tabs>
          <w:tab w:val="left" w:pos="1260"/>
        </w:tabs>
        <w:ind w:left="126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2A3F7151"/>
    <w:multiLevelType w:val="multilevel"/>
    <w:tmpl w:val="2A3F7151"/>
    <w:lvl w:ilvl="0" w:tentative="0">
      <w:start w:val="1"/>
      <w:numFmt w:val="chineseCountingThousand"/>
      <w:pStyle w:val="65"/>
      <w:lvlText w:val="%1、"/>
      <w:lvlJc w:val="left"/>
      <w:pPr>
        <w:ind w:left="425" w:hanging="425"/>
      </w:pPr>
      <w:rPr>
        <w:rFonts w:hint="eastAsia"/>
      </w:rPr>
    </w:lvl>
    <w:lvl w:ilvl="1" w:tentative="0">
      <w:start w:val="1"/>
      <w:numFmt w:val="decimal"/>
      <w:pStyle w:val="66"/>
      <w:lvlText w:val="%2、"/>
      <w:lvlJc w:val="left"/>
      <w:pPr>
        <w:ind w:left="992" w:hanging="567"/>
      </w:pPr>
      <w:rPr>
        <w:rFonts w:hint="eastAsia"/>
      </w:rPr>
    </w:lvl>
    <w:lvl w:ilvl="2" w:tentative="0">
      <w:start w:val="1"/>
      <w:numFmt w:val="decimal"/>
      <w:pStyle w:val="67"/>
      <w:lvlText w:val="%2.%3、"/>
      <w:lvlJc w:val="left"/>
      <w:pPr>
        <w:ind w:left="1418" w:hanging="567"/>
      </w:pPr>
      <w:rPr>
        <w:rFonts w:hint="eastAsia"/>
        <w:b/>
      </w:rPr>
    </w:lvl>
    <w:lvl w:ilvl="3" w:tentative="0">
      <w:start w:val="1"/>
      <w:numFmt w:val="decimal"/>
      <w:lvlText w:val="%2.%3.%4、"/>
      <w:lvlJc w:val="left"/>
      <w:pPr>
        <w:ind w:left="1984" w:hanging="708"/>
      </w:pPr>
      <w:rPr>
        <w:rFonts w:hint="eastAsia"/>
      </w:rPr>
    </w:lvl>
    <w:lvl w:ilvl="4" w:tentative="0">
      <w:start w:val="1"/>
      <w:numFmt w:val="decimal"/>
      <w:lvlText w:val="%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303E7828"/>
    <w:multiLevelType w:val="multilevel"/>
    <w:tmpl w:val="303E7828"/>
    <w:lvl w:ilvl="0" w:tentative="0">
      <w:start w:val="1"/>
      <w:numFmt w:val="chineseCountingThousand"/>
      <w:lvlText w:val="第%1章"/>
      <w:lvlJc w:val="left"/>
      <w:pPr>
        <w:tabs>
          <w:tab w:val="left" w:pos="851"/>
        </w:tabs>
        <w:ind w:left="851" w:hanging="851"/>
      </w:pPr>
      <w:rPr>
        <w:rFonts w:hint="eastAsia" w:ascii="黑体" w:hAnsi="宋体" w:eastAsia="黑体"/>
        <w:b/>
        <w:bCs/>
        <w:i w:val="0"/>
        <w:iCs w:val="0"/>
        <w:sz w:val="28"/>
        <w:szCs w:val="28"/>
      </w:rPr>
    </w:lvl>
    <w:lvl w:ilvl="1" w:tentative="0">
      <w:start w:val="1"/>
      <w:numFmt w:val="chineseCountingThousand"/>
      <w:lvlText w:val="第%2章"/>
      <w:lvlJc w:val="left"/>
      <w:pPr>
        <w:tabs>
          <w:tab w:val="left" w:pos="851"/>
        </w:tabs>
        <w:ind w:left="851" w:hanging="851"/>
      </w:pPr>
      <w:rPr>
        <w:rFonts w:hint="eastAsia"/>
        <w:b w:val="0"/>
        <w:bCs w:val="0"/>
        <w:i w:val="0"/>
        <w:iCs w:val="0"/>
        <w:sz w:val="28"/>
        <w:szCs w:val="28"/>
      </w:rPr>
    </w:lvl>
    <w:lvl w:ilvl="2" w:tentative="0">
      <w:start w:val="1"/>
      <w:numFmt w:val="koreanDigital2"/>
      <w:lvlText w:val="%3、"/>
      <w:lvlJc w:val="left"/>
      <w:pPr>
        <w:tabs>
          <w:tab w:val="left" w:pos="851"/>
        </w:tabs>
        <w:ind w:left="851" w:hanging="851"/>
      </w:pPr>
      <w:rPr>
        <w:rFonts w:hint="eastAsia"/>
        <w:sz w:val="24"/>
        <w:szCs w:val="24"/>
      </w:rPr>
    </w:lvl>
    <w:lvl w:ilvl="3" w:tentative="0">
      <w:start w:val="1"/>
      <w:numFmt w:val="decimal"/>
      <w:lvlRestart w:val="0"/>
      <w:pStyle w:val="4"/>
      <w:lvlText w:val="%4"/>
      <w:lvlJc w:val="left"/>
      <w:pPr>
        <w:tabs>
          <w:tab w:val="left" w:pos="851"/>
        </w:tabs>
        <w:ind w:left="851" w:hanging="851"/>
      </w:pPr>
      <w:rPr>
        <w:rFonts w:hint="eastAsia" w:ascii="Times New Roman" w:hAnsi="Times New Roman" w:cs="Times New Roman"/>
        <w:b/>
        <w:bCs/>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4" w:tentative="0">
      <w:start w:val="1"/>
      <w:numFmt w:val="decimal"/>
      <w:pStyle w:val="5"/>
      <w:lvlText w:val="%4.%5"/>
      <w:lvlJc w:val="left"/>
      <w:pPr>
        <w:tabs>
          <w:tab w:val="left" w:pos="851"/>
        </w:tabs>
        <w:ind w:left="851" w:hanging="851"/>
      </w:pPr>
      <w:rPr>
        <w:rFonts w:hint="default" w:ascii="Arial" w:hAnsi="Arial" w:cs="Arial"/>
        <w:b w:val="0"/>
        <w:bCs w:val="0"/>
        <w:i w:val="0"/>
        <w:iCs w:val="0"/>
        <w:caps w:val="0"/>
        <w:smallCaps w:val="0"/>
        <w:strike w:val="0"/>
        <w:dstrike w:val="0"/>
        <w:outline w:val="0"/>
        <w:shadow w:val="0"/>
        <w:emboss w:val="0"/>
        <w:imprint w:val="0"/>
        <w:snapToGrid w:val="0"/>
        <w:vanish w:val="0"/>
        <w:color w:val="000000"/>
        <w:spacing w:val="0"/>
        <w:w w:val="0"/>
        <w:kern w:val="0"/>
        <w:position w:val="0"/>
        <w:sz w:val="21"/>
        <w:szCs w:val="21"/>
        <w:u w:val="none"/>
        <w:vertAlign w:val="baseline"/>
      </w:rPr>
    </w:lvl>
    <w:lvl w:ilvl="5" w:tentative="0">
      <w:start w:val="1"/>
      <w:numFmt w:val="decimal"/>
      <w:lvlText w:val="%4.%5.%6"/>
      <w:lvlJc w:val="left"/>
      <w:pPr>
        <w:tabs>
          <w:tab w:val="left" w:pos="397"/>
        </w:tabs>
        <w:ind w:left="420" w:hanging="420"/>
      </w:pPr>
      <w:rPr>
        <w:rFonts w:hint="default" w:ascii="Arial" w:hAnsi="Arial" w:cs="Arial"/>
        <w:b w:val="0"/>
        <w:bCs w:val="0"/>
        <w:i w:val="0"/>
        <w:iCs w:val="0"/>
        <w:sz w:val="24"/>
        <w:szCs w:val="24"/>
      </w:rPr>
    </w:lvl>
    <w:lvl w:ilvl="6" w:tentative="0">
      <w:start w:val="1"/>
      <w:numFmt w:val="decimal"/>
      <w:lvlText w:val="(%7)"/>
      <w:lvlJc w:val="left"/>
      <w:pPr>
        <w:tabs>
          <w:tab w:val="left" w:pos="851"/>
        </w:tabs>
      </w:pPr>
      <w:rPr>
        <w:rFonts w:hint="default" w:ascii="Arial" w:hAnsi="Arial" w:cs="Arial"/>
      </w:rPr>
    </w:lvl>
    <w:lvl w:ilvl="7" w:tentative="0">
      <w:start w:val="1"/>
      <w:numFmt w:val="lowerLetter"/>
      <w:lvlText w:val="(%8)"/>
      <w:lvlJc w:val="left"/>
      <w:pPr>
        <w:tabs>
          <w:tab w:val="left" w:pos="1418"/>
        </w:tabs>
        <w:ind w:left="1418" w:hanging="397"/>
      </w:pPr>
      <w:rPr>
        <w:rFonts w:hint="default" w:ascii="Times New Roman" w:hAnsi="Times New Roman" w:cs="Times New Roman"/>
      </w:rPr>
    </w:lvl>
    <w:lvl w:ilvl="8" w:tentative="0">
      <w:start w:val="1"/>
      <w:numFmt w:val="decimal"/>
      <w:lvlText w:val="(%9)"/>
      <w:lvlJc w:val="left"/>
      <w:pPr>
        <w:tabs>
          <w:tab w:val="left" w:pos="851"/>
        </w:tabs>
        <w:ind w:left="851" w:hanging="851"/>
      </w:pPr>
      <w:rPr>
        <w:rFonts w:hint="default" w:ascii="Arial" w:hAnsi="Arial" w:cs="Arial"/>
        <w:sz w:val="21"/>
        <w:szCs w:val="21"/>
      </w:rPr>
    </w:lvl>
  </w:abstractNum>
  <w:abstractNum w:abstractNumId="6">
    <w:nsid w:val="35BF3A19"/>
    <w:multiLevelType w:val="singleLevel"/>
    <w:tmpl w:val="35BF3A19"/>
    <w:lvl w:ilvl="0" w:tentative="0">
      <w:start w:val="2"/>
      <w:numFmt w:val="decimal"/>
      <w:suff w:val="nothing"/>
      <w:lvlText w:val="%1、"/>
      <w:lvlJc w:val="left"/>
    </w:lvl>
  </w:abstractNum>
  <w:abstractNum w:abstractNumId="7">
    <w:nsid w:val="3D937EB1"/>
    <w:multiLevelType w:val="multilevel"/>
    <w:tmpl w:val="3D937EB1"/>
    <w:lvl w:ilvl="0" w:tentative="0">
      <w:start w:val="2"/>
      <w:numFmt w:val="bullet"/>
      <w:lvlText w:val="□"/>
      <w:lvlJc w:val="left"/>
      <w:pPr>
        <w:tabs>
          <w:tab w:val="left" w:pos="360"/>
        </w:tabs>
        <w:ind w:left="360" w:hanging="360"/>
      </w:pPr>
      <w:rPr>
        <w:rFonts w:hint="eastAsia" w:ascii="仿宋_GB2312" w:hAnsi="宋体" w:eastAsia="仿宋_GB2312"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5"/>
  </w:num>
  <w:num w:numId="2">
    <w:abstractNumId w:val="4"/>
  </w:num>
  <w:num w:numId="3">
    <w:abstractNumId w:val="2"/>
  </w:num>
  <w:num w:numId="4">
    <w:abstractNumId w:val="0"/>
  </w:num>
  <w:num w:numId="5">
    <w:abstractNumId w:val="1"/>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CAFLAG" w:val="icatest"/>
    <w:docVar w:name="ITRUSDOCGENNUM" w:val="2"/>
    <w:docVar w:name="ITRUSDOCTOTLE" w:val="Element=0"/>
  </w:docVars>
  <w:rsids>
    <w:rsidRoot w:val="00B57E8E"/>
    <w:rsid w:val="00001CD6"/>
    <w:rsid w:val="000030F0"/>
    <w:rsid w:val="0000333F"/>
    <w:rsid w:val="000041E6"/>
    <w:rsid w:val="0000710D"/>
    <w:rsid w:val="000079A7"/>
    <w:rsid w:val="00011722"/>
    <w:rsid w:val="00011B77"/>
    <w:rsid w:val="000122D8"/>
    <w:rsid w:val="00012926"/>
    <w:rsid w:val="000130AC"/>
    <w:rsid w:val="000140AC"/>
    <w:rsid w:val="000140C0"/>
    <w:rsid w:val="000141E4"/>
    <w:rsid w:val="0001613D"/>
    <w:rsid w:val="00016283"/>
    <w:rsid w:val="00017511"/>
    <w:rsid w:val="0001787B"/>
    <w:rsid w:val="00017C76"/>
    <w:rsid w:val="00020197"/>
    <w:rsid w:val="000208EA"/>
    <w:rsid w:val="000226F3"/>
    <w:rsid w:val="00023B99"/>
    <w:rsid w:val="00024C34"/>
    <w:rsid w:val="00025ED0"/>
    <w:rsid w:val="00030290"/>
    <w:rsid w:val="00032C04"/>
    <w:rsid w:val="0003727C"/>
    <w:rsid w:val="00041AE2"/>
    <w:rsid w:val="00041E95"/>
    <w:rsid w:val="000434DD"/>
    <w:rsid w:val="00043927"/>
    <w:rsid w:val="000459DE"/>
    <w:rsid w:val="00045DDE"/>
    <w:rsid w:val="00050309"/>
    <w:rsid w:val="000515A8"/>
    <w:rsid w:val="00053915"/>
    <w:rsid w:val="00053E95"/>
    <w:rsid w:val="00054541"/>
    <w:rsid w:val="00054F38"/>
    <w:rsid w:val="0005532C"/>
    <w:rsid w:val="000561B7"/>
    <w:rsid w:val="0005760F"/>
    <w:rsid w:val="00060748"/>
    <w:rsid w:val="000619DC"/>
    <w:rsid w:val="000638CF"/>
    <w:rsid w:val="000643C9"/>
    <w:rsid w:val="00065FDA"/>
    <w:rsid w:val="0006726A"/>
    <w:rsid w:val="00067569"/>
    <w:rsid w:val="00067BA4"/>
    <w:rsid w:val="000701BB"/>
    <w:rsid w:val="00070726"/>
    <w:rsid w:val="00072FF6"/>
    <w:rsid w:val="00073F02"/>
    <w:rsid w:val="00073FDF"/>
    <w:rsid w:val="00074FBA"/>
    <w:rsid w:val="00075BCC"/>
    <w:rsid w:val="000765BD"/>
    <w:rsid w:val="0007743E"/>
    <w:rsid w:val="00084250"/>
    <w:rsid w:val="000928BC"/>
    <w:rsid w:val="000A005F"/>
    <w:rsid w:val="000A1D11"/>
    <w:rsid w:val="000A206C"/>
    <w:rsid w:val="000A5762"/>
    <w:rsid w:val="000A5D42"/>
    <w:rsid w:val="000A7326"/>
    <w:rsid w:val="000A7A55"/>
    <w:rsid w:val="000A7CAE"/>
    <w:rsid w:val="000B072B"/>
    <w:rsid w:val="000B23E1"/>
    <w:rsid w:val="000B3EFD"/>
    <w:rsid w:val="000B5A24"/>
    <w:rsid w:val="000B6D32"/>
    <w:rsid w:val="000B6EF5"/>
    <w:rsid w:val="000B71A5"/>
    <w:rsid w:val="000C23FF"/>
    <w:rsid w:val="000C51C1"/>
    <w:rsid w:val="000C5715"/>
    <w:rsid w:val="000C648D"/>
    <w:rsid w:val="000D0312"/>
    <w:rsid w:val="000D0AC4"/>
    <w:rsid w:val="000D2BF9"/>
    <w:rsid w:val="000D374F"/>
    <w:rsid w:val="000D3A12"/>
    <w:rsid w:val="000D3FB5"/>
    <w:rsid w:val="000D7A12"/>
    <w:rsid w:val="000D7A71"/>
    <w:rsid w:val="000E0A62"/>
    <w:rsid w:val="000E1850"/>
    <w:rsid w:val="000E3C42"/>
    <w:rsid w:val="000E4BC5"/>
    <w:rsid w:val="000E78B7"/>
    <w:rsid w:val="000E7AE9"/>
    <w:rsid w:val="000F0014"/>
    <w:rsid w:val="000F161F"/>
    <w:rsid w:val="0010053E"/>
    <w:rsid w:val="001016EB"/>
    <w:rsid w:val="00101BA7"/>
    <w:rsid w:val="001022F0"/>
    <w:rsid w:val="001045E9"/>
    <w:rsid w:val="001049D2"/>
    <w:rsid w:val="00105E9D"/>
    <w:rsid w:val="00106DC7"/>
    <w:rsid w:val="00111A83"/>
    <w:rsid w:val="00112867"/>
    <w:rsid w:val="00115A35"/>
    <w:rsid w:val="0011670E"/>
    <w:rsid w:val="00116EC3"/>
    <w:rsid w:val="001174FB"/>
    <w:rsid w:val="001179D6"/>
    <w:rsid w:val="00121CB3"/>
    <w:rsid w:val="00123099"/>
    <w:rsid w:val="001238D2"/>
    <w:rsid w:val="00124722"/>
    <w:rsid w:val="0012713B"/>
    <w:rsid w:val="00127EDF"/>
    <w:rsid w:val="001312F3"/>
    <w:rsid w:val="001373A4"/>
    <w:rsid w:val="00137E78"/>
    <w:rsid w:val="00141095"/>
    <w:rsid w:val="001424D7"/>
    <w:rsid w:val="00142FCE"/>
    <w:rsid w:val="00143E9B"/>
    <w:rsid w:val="0014419A"/>
    <w:rsid w:val="00144752"/>
    <w:rsid w:val="00145A61"/>
    <w:rsid w:val="00147449"/>
    <w:rsid w:val="00147CE3"/>
    <w:rsid w:val="00170CA2"/>
    <w:rsid w:val="0017272F"/>
    <w:rsid w:val="0017303E"/>
    <w:rsid w:val="00173E51"/>
    <w:rsid w:val="00174428"/>
    <w:rsid w:val="00176A7F"/>
    <w:rsid w:val="00177042"/>
    <w:rsid w:val="0017790A"/>
    <w:rsid w:val="0018073C"/>
    <w:rsid w:val="00182839"/>
    <w:rsid w:val="00184D5B"/>
    <w:rsid w:val="00185C8A"/>
    <w:rsid w:val="00187CEB"/>
    <w:rsid w:val="001938B3"/>
    <w:rsid w:val="0019424A"/>
    <w:rsid w:val="00194D96"/>
    <w:rsid w:val="0019522B"/>
    <w:rsid w:val="001952CC"/>
    <w:rsid w:val="00196120"/>
    <w:rsid w:val="00196B89"/>
    <w:rsid w:val="001A000C"/>
    <w:rsid w:val="001A0CAB"/>
    <w:rsid w:val="001A0E81"/>
    <w:rsid w:val="001A1353"/>
    <w:rsid w:val="001A3E7C"/>
    <w:rsid w:val="001A4619"/>
    <w:rsid w:val="001A7135"/>
    <w:rsid w:val="001A7295"/>
    <w:rsid w:val="001B0D06"/>
    <w:rsid w:val="001B1D36"/>
    <w:rsid w:val="001B290D"/>
    <w:rsid w:val="001B42B9"/>
    <w:rsid w:val="001C1503"/>
    <w:rsid w:val="001C3B79"/>
    <w:rsid w:val="001C48E0"/>
    <w:rsid w:val="001C4DB2"/>
    <w:rsid w:val="001C4F68"/>
    <w:rsid w:val="001C5FAA"/>
    <w:rsid w:val="001C66AA"/>
    <w:rsid w:val="001C72C2"/>
    <w:rsid w:val="001C72E2"/>
    <w:rsid w:val="001D2720"/>
    <w:rsid w:val="001D2A87"/>
    <w:rsid w:val="001D51EF"/>
    <w:rsid w:val="001D5B01"/>
    <w:rsid w:val="001E0083"/>
    <w:rsid w:val="001E0402"/>
    <w:rsid w:val="001E462F"/>
    <w:rsid w:val="001E7758"/>
    <w:rsid w:val="001F002D"/>
    <w:rsid w:val="001F07AB"/>
    <w:rsid w:val="001F3B72"/>
    <w:rsid w:val="001F4C08"/>
    <w:rsid w:val="001F59AD"/>
    <w:rsid w:val="001F66F7"/>
    <w:rsid w:val="001F72E0"/>
    <w:rsid w:val="00200A67"/>
    <w:rsid w:val="00200E00"/>
    <w:rsid w:val="00201D9C"/>
    <w:rsid w:val="00202E34"/>
    <w:rsid w:val="00204A62"/>
    <w:rsid w:val="0020548A"/>
    <w:rsid w:val="00205A0C"/>
    <w:rsid w:val="00205C8E"/>
    <w:rsid w:val="00205DA4"/>
    <w:rsid w:val="00205ED9"/>
    <w:rsid w:val="0021039A"/>
    <w:rsid w:val="00212979"/>
    <w:rsid w:val="00213213"/>
    <w:rsid w:val="00214629"/>
    <w:rsid w:val="00216541"/>
    <w:rsid w:val="002250C4"/>
    <w:rsid w:val="00227D3E"/>
    <w:rsid w:val="00227DB8"/>
    <w:rsid w:val="00230C0E"/>
    <w:rsid w:val="0023295F"/>
    <w:rsid w:val="00232BE3"/>
    <w:rsid w:val="00233C58"/>
    <w:rsid w:val="00234121"/>
    <w:rsid w:val="0023540F"/>
    <w:rsid w:val="00237342"/>
    <w:rsid w:val="00242A37"/>
    <w:rsid w:val="00253C05"/>
    <w:rsid w:val="0025562B"/>
    <w:rsid w:val="002566DA"/>
    <w:rsid w:val="002635E2"/>
    <w:rsid w:val="00263B46"/>
    <w:rsid w:val="00264D41"/>
    <w:rsid w:val="0026608B"/>
    <w:rsid w:val="0027259A"/>
    <w:rsid w:val="002735E8"/>
    <w:rsid w:val="00281323"/>
    <w:rsid w:val="00282947"/>
    <w:rsid w:val="00283A4D"/>
    <w:rsid w:val="00283D2A"/>
    <w:rsid w:val="00285A5C"/>
    <w:rsid w:val="00286935"/>
    <w:rsid w:val="00287312"/>
    <w:rsid w:val="002879BC"/>
    <w:rsid w:val="00287A40"/>
    <w:rsid w:val="00295F09"/>
    <w:rsid w:val="0029614B"/>
    <w:rsid w:val="002A175D"/>
    <w:rsid w:val="002A2C9D"/>
    <w:rsid w:val="002A530C"/>
    <w:rsid w:val="002A53E2"/>
    <w:rsid w:val="002A72E5"/>
    <w:rsid w:val="002A7920"/>
    <w:rsid w:val="002A7A81"/>
    <w:rsid w:val="002B0354"/>
    <w:rsid w:val="002B1E9C"/>
    <w:rsid w:val="002B308C"/>
    <w:rsid w:val="002B3CB6"/>
    <w:rsid w:val="002B4610"/>
    <w:rsid w:val="002B7BFE"/>
    <w:rsid w:val="002C0D2F"/>
    <w:rsid w:val="002C2690"/>
    <w:rsid w:val="002C321E"/>
    <w:rsid w:val="002C4133"/>
    <w:rsid w:val="002D2873"/>
    <w:rsid w:val="002D2E62"/>
    <w:rsid w:val="002D60D0"/>
    <w:rsid w:val="002D6813"/>
    <w:rsid w:val="002D6B47"/>
    <w:rsid w:val="002D6B84"/>
    <w:rsid w:val="002D79F4"/>
    <w:rsid w:val="002E4BB8"/>
    <w:rsid w:val="002E7E0B"/>
    <w:rsid w:val="002F03AA"/>
    <w:rsid w:val="002F1884"/>
    <w:rsid w:val="002F1CD6"/>
    <w:rsid w:val="002F404F"/>
    <w:rsid w:val="00300FC6"/>
    <w:rsid w:val="003011FD"/>
    <w:rsid w:val="00301567"/>
    <w:rsid w:val="003019B8"/>
    <w:rsid w:val="00302DEA"/>
    <w:rsid w:val="0030362E"/>
    <w:rsid w:val="00304100"/>
    <w:rsid w:val="0030463D"/>
    <w:rsid w:val="00305BC5"/>
    <w:rsid w:val="00306DFD"/>
    <w:rsid w:val="003105DE"/>
    <w:rsid w:val="00311046"/>
    <w:rsid w:val="00315BE2"/>
    <w:rsid w:val="0032059E"/>
    <w:rsid w:val="0032101B"/>
    <w:rsid w:val="00322EB9"/>
    <w:rsid w:val="0032539E"/>
    <w:rsid w:val="003268E0"/>
    <w:rsid w:val="00330454"/>
    <w:rsid w:val="00331662"/>
    <w:rsid w:val="00333C5E"/>
    <w:rsid w:val="00334A9B"/>
    <w:rsid w:val="00335776"/>
    <w:rsid w:val="00335EB9"/>
    <w:rsid w:val="00336160"/>
    <w:rsid w:val="003401AE"/>
    <w:rsid w:val="00340B3D"/>
    <w:rsid w:val="00340E7A"/>
    <w:rsid w:val="0034193E"/>
    <w:rsid w:val="00341D49"/>
    <w:rsid w:val="00342DA8"/>
    <w:rsid w:val="00345172"/>
    <w:rsid w:val="00346608"/>
    <w:rsid w:val="00346A8E"/>
    <w:rsid w:val="00350134"/>
    <w:rsid w:val="00350E3E"/>
    <w:rsid w:val="00350E53"/>
    <w:rsid w:val="003539A2"/>
    <w:rsid w:val="003544A5"/>
    <w:rsid w:val="00356F37"/>
    <w:rsid w:val="00360CC4"/>
    <w:rsid w:val="00361190"/>
    <w:rsid w:val="003635FE"/>
    <w:rsid w:val="00363D2A"/>
    <w:rsid w:val="0036420C"/>
    <w:rsid w:val="00365424"/>
    <w:rsid w:val="0036781B"/>
    <w:rsid w:val="00367AE0"/>
    <w:rsid w:val="003712B1"/>
    <w:rsid w:val="00372B1C"/>
    <w:rsid w:val="00374D69"/>
    <w:rsid w:val="0037549E"/>
    <w:rsid w:val="00375639"/>
    <w:rsid w:val="00381ECC"/>
    <w:rsid w:val="00383166"/>
    <w:rsid w:val="003841BA"/>
    <w:rsid w:val="00385686"/>
    <w:rsid w:val="003914B1"/>
    <w:rsid w:val="0039721A"/>
    <w:rsid w:val="003A09F6"/>
    <w:rsid w:val="003A23CE"/>
    <w:rsid w:val="003A296F"/>
    <w:rsid w:val="003A31BC"/>
    <w:rsid w:val="003A716C"/>
    <w:rsid w:val="003B1424"/>
    <w:rsid w:val="003B1938"/>
    <w:rsid w:val="003B1C82"/>
    <w:rsid w:val="003B26D9"/>
    <w:rsid w:val="003B552A"/>
    <w:rsid w:val="003B662C"/>
    <w:rsid w:val="003B74E5"/>
    <w:rsid w:val="003B7F29"/>
    <w:rsid w:val="003C2B23"/>
    <w:rsid w:val="003C2EAD"/>
    <w:rsid w:val="003C4718"/>
    <w:rsid w:val="003C5264"/>
    <w:rsid w:val="003C60BE"/>
    <w:rsid w:val="003D0D6D"/>
    <w:rsid w:val="003D300F"/>
    <w:rsid w:val="003E0564"/>
    <w:rsid w:val="003E18E3"/>
    <w:rsid w:val="003E1C7D"/>
    <w:rsid w:val="003E7B26"/>
    <w:rsid w:val="003F122F"/>
    <w:rsid w:val="003F20B5"/>
    <w:rsid w:val="003F35E8"/>
    <w:rsid w:val="003F50AA"/>
    <w:rsid w:val="003F7329"/>
    <w:rsid w:val="004011BD"/>
    <w:rsid w:val="0040182C"/>
    <w:rsid w:val="0040202C"/>
    <w:rsid w:val="0040453D"/>
    <w:rsid w:val="00405994"/>
    <w:rsid w:val="00406D1E"/>
    <w:rsid w:val="00410AB4"/>
    <w:rsid w:val="004114CB"/>
    <w:rsid w:val="0041270D"/>
    <w:rsid w:val="004129DF"/>
    <w:rsid w:val="00417D96"/>
    <w:rsid w:val="004221B4"/>
    <w:rsid w:val="004226BC"/>
    <w:rsid w:val="00422867"/>
    <w:rsid w:val="00422AFB"/>
    <w:rsid w:val="0042429F"/>
    <w:rsid w:val="0043036E"/>
    <w:rsid w:val="00431821"/>
    <w:rsid w:val="00433BAF"/>
    <w:rsid w:val="00440FAC"/>
    <w:rsid w:val="00444F7A"/>
    <w:rsid w:val="00446272"/>
    <w:rsid w:val="00446F71"/>
    <w:rsid w:val="00450747"/>
    <w:rsid w:val="0045084E"/>
    <w:rsid w:val="00451D63"/>
    <w:rsid w:val="00452125"/>
    <w:rsid w:val="004534F4"/>
    <w:rsid w:val="00456508"/>
    <w:rsid w:val="00456870"/>
    <w:rsid w:val="00462248"/>
    <w:rsid w:val="004678B2"/>
    <w:rsid w:val="0047214E"/>
    <w:rsid w:val="0047570D"/>
    <w:rsid w:val="00476682"/>
    <w:rsid w:val="004769BD"/>
    <w:rsid w:val="004808D7"/>
    <w:rsid w:val="00483822"/>
    <w:rsid w:val="00483E6D"/>
    <w:rsid w:val="0048493B"/>
    <w:rsid w:val="00485D7F"/>
    <w:rsid w:val="00486958"/>
    <w:rsid w:val="00490331"/>
    <w:rsid w:val="00490871"/>
    <w:rsid w:val="00491EC6"/>
    <w:rsid w:val="004922D4"/>
    <w:rsid w:val="004928C3"/>
    <w:rsid w:val="00492970"/>
    <w:rsid w:val="00493251"/>
    <w:rsid w:val="004A0051"/>
    <w:rsid w:val="004A0078"/>
    <w:rsid w:val="004A0D47"/>
    <w:rsid w:val="004A4134"/>
    <w:rsid w:val="004A52D4"/>
    <w:rsid w:val="004A555B"/>
    <w:rsid w:val="004B20FB"/>
    <w:rsid w:val="004B37F4"/>
    <w:rsid w:val="004B518B"/>
    <w:rsid w:val="004B72E7"/>
    <w:rsid w:val="004C06F3"/>
    <w:rsid w:val="004C09B5"/>
    <w:rsid w:val="004C10C7"/>
    <w:rsid w:val="004C26F4"/>
    <w:rsid w:val="004C39DF"/>
    <w:rsid w:val="004C496D"/>
    <w:rsid w:val="004C57CB"/>
    <w:rsid w:val="004C5AE1"/>
    <w:rsid w:val="004C6A3C"/>
    <w:rsid w:val="004D00A2"/>
    <w:rsid w:val="004D00E2"/>
    <w:rsid w:val="004D5DF2"/>
    <w:rsid w:val="004D6877"/>
    <w:rsid w:val="004E6A4E"/>
    <w:rsid w:val="004F24A4"/>
    <w:rsid w:val="004F4102"/>
    <w:rsid w:val="004F442B"/>
    <w:rsid w:val="004F677C"/>
    <w:rsid w:val="005024D6"/>
    <w:rsid w:val="005041BA"/>
    <w:rsid w:val="00505604"/>
    <w:rsid w:val="005066FC"/>
    <w:rsid w:val="0050698B"/>
    <w:rsid w:val="00511DF8"/>
    <w:rsid w:val="00511F1C"/>
    <w:rsid w:val="005128AD"/>
    <w:rsid w:val="00513A36"/>
    <w:rsid w:val="0051486B"/>
    <w:rsid w:val="00515729"/>
    <w:rsid w:val="00515AE3"/>
    <w:rsid w:val="00517270"/>
    <w:rsid w:val="00517CEA"/>
    <w:rsid w:val="00521D4F"/>
    <w:rsid w:val="005226BD"/>
    <w:rsid w:val="00524773"/>
    <w:rsid w:val="00524A93"/>
    <w:rsid w:val="005251B1"/>
    <w:rsid w:val="0052568D"/>
    <w:rsid w:val="00525C0A"/>
    <w:rsid w:val="00526A46"/>
    <w:rsid w:val="00531E7E"/>
    <w:rsid w:val="00533217"/>
    <w:rsid w:val="00535D55"/>
    <w:rsid w:val="00540B32"/>
    <w:rsid w:val="005416DE"/>
    <w:rsid w:val="0054262D"/>
    <w:rsid w:val="005442C1"/>
    <w:rsid w:val="00545A78"/>
    <w:rsid w:val="00545E6C"/>
    <w:rsid w:val="00546072"/>
    <w:rsid w:val="00552940"/>
    <w:rsid w:val="00554B5C"/>
    <w:rsid w:val="0056091A"/>
    <w:rsid w:val="00563027"/>
    <w:rsid w:val="00563EC1"/>
    <w:rsid w:val="00564857"/>
    <w:rsid w:val="00564AEA"/>
    <w:rsid w:val="005711EC"/>
    <w:rsid w:val="005732AF"/>
    <w:rsid w:val="005739A9"/>
    <w:rsid w:val="0057558C"/>
    <w:rsid w:val="0057605F"/>
    <w:rsid w:val="00576270"/>
    <w:rsid w:val="00577A0E"/>
    <w:rsid w:val="0058017F"/>
    <w:rsid w:val="00580F36"/>
    <w:rsid w:val="00581762"/>
    <w:rsid w:val="005824CE"/>
    <w:rsid w:val="00582670"/>
    <w:rsid w:val="00585CAC"/>
    <w:rsid w:val="0058717F"/>
    <w:rsid w:val="00587465"/>
    <w:rsid w:val="00587F24"/>
    <w:rsid w:val="00591C76"/>
    <w:rsid w:val="0059302D"/>
    <w:rsid w:val="00595427"/>
    <w:rsid w:val="005958DA"/>
    <w:rsid w:val="005968DF"/>
    <w:rsid w:val="00597E89"/>
    <w:rsid w:val="005A0ABC"/>
    <w:rsid w:val="005A41D7"/>
    <w:rsid w:val="005B1051"/>
    <w:rsid w:val="005B2C26"/>
    <w:rsid w:val="005B5D83"/>
    <w:rsid w:val="005B6138"/>
    <w:rsid w:val="005B7552"/>
    <w:rsid w:val="005C0321"/>
    <w:rsid w:val="005C22CE"/>
    <w:rsid w:val="005C25D3"/>
    <w:rsid w:val="005C350A"/>
    <w:rsid w:val="005C6D68"/>
    <w:rsid w:val="005C6E2E"/>
    <w:rsid w:val="005C734A"/>
    <w:rsid w:val="005C7E31"/>
    <w:rsid w:val="005D156C"/>
    <w:rsid w:val="005D1661"/>
    <w:rsid w:val="005D24BD"/>
    <w:rsid w:val="005D2D0B"/>
    <w:rsid w:val="005D2ECE"/>
    <w:rsid w:val="005D37BA"/>
    <w:rsid w:val="005D6577"/>
    <w:rsid w:val="005E0B26"/>
    <w:rsid w:val="005E1A98"/>
    <w:rsid w:val="005E3238"/>
    <w:rsid w:val="005E47E6"/>
    <w:rsid w:val="005E71EE"/>
    <w:rsid w:val="005F0ED9"/>
    <w:rsid w:val="005F15D5"/>
    <w:rsid w:val="005F37DB"/>
    <w:rsid w:val="005F4121"/>
    <w:rsid w:val="005F5EE4"/>
    <w:rsid w:val="005F6928"/>
    <w:rsid w:val="006012B1"/>
    <w:rsid w:val="006014AB"/>
    <w:rsid w:val="006025E7"/>
    <w:rsid w:val="00604BC4"/>
    <w:rsid w:val="00606F29"/>
    <w:rsid w:val="00614F12"/>
    <w:rsid w:val="00615A98"/>
    <w:rsid w:val="00620D0A"/>
    <w:rsid w:val="00621AA9"/>
    <w:rsid w:val="00623062"/>
    <w:rsid w:val="006232D6"/>
    <w:rsid w:val="00624E83"/>
    <w:rsid w:val="00624F8A"/>
    <w:rsid w:val="00625698"/>
    <w:rsid w:val="00627129"/>
    <w:rsid w:val="00636ACA"/>
    <w:rsid w:val="00637339"/>
    <w:rsid w:val="00640705"/>
    <w:rsid w:val="00644D88"/>
    <w:rsid w:val="00644FB6"/>
    <w:rsid w:val="00646D42"/>
    <w:rsid w:val="00647B36"/>
    <w:rsid w:val="00650749"/>
    <w:rsid w:val="00650797"/>
    <w:rsid w:val="006526C9"/>
    <w:rsid w:val="00657C35"/>
    <w:rsid w:val="0066054B"/>
    <w:rsid w:val="00663AB1"/>
    <w:rsid w:val="00665261"/>
    <w:rsid w:val="00665D93"/>
    <w:rsid w:val="00666011"/>
    <w:rsid w:val="00667D97"/>
    <w:rsid w:val="00670D76"/>
    <w:rsid w:val="006713DF"/>
    <w:rsid w:val="00672B09"/>
    <w:rsid w:val="00673902"/>
    <w:rsid w:val="00675994"/>
    <w:rsid w:val="00675A3C"/>
    <w:rsid w:val="00677A35"/>
    <w:rsid w:val="00677FED"/>
    <w:rsid w:val="00682495"/>
    <w:rsid w:val="00682F7D"/>
    <w:rsid w:val="00683E4C"/>
    <w:rsid w:val="00684988"/>
    <w:rsid w:val="00684CB6"/>
    <w:rsid w:val="006869D2"/>
    <w:rsid w:val="00691088"/>
    <w:rsid w:val="006919EB"/>
    <w:rsid w:val="00691B93"/>
    <w:rsid w:val="00692F67"/>
    <w:rsid w:val="00694143"/>
    <w:rsid w:val="006951D3"/>
    <w:rsid w:val="006954F1"/>
    <w:rsid w:val="00696DA6"/>
    <w:rsid w:val="006A2F33"/>
    <w:rsid w:val="006A3238"/>
    <w:rsid w:val="006A3EEA"/>
    <w:rsid w:val="006A44E3"/>
    <w:rsid w:val="006A4BAE"/>
    <w:rsid w:val="006A5CAF"/>
    <w:rsid w:val="006B12F7"/>
    <w:rsid w:val="006B2523"/>
    <w:rsid w:val="006B29F5"/>
    <w:rsid w:val="006B3207"/>
    <w:rsid w:val="006B33D6"/>
    <w:rsid w:val="006B3976"/>
    <w:rsid w:val="006B5B71"/>
    <w:rsid w:val="006B7285"/>
    <w:rsid w:val="006C087F"/>
    <w:rsid w:val="006C40B7"/>
    <w:rsid w:val="006C5F22"/>
    <w:rsid w:val="006C6FA2"/>
    <w:rsid w:val="006C7F21"/>
    <w:rsid w:val="006D2630"/>
    <w:rsid w:val="006D68C0"/>
    <w:rsid w:val="006D7320"/>
    <w:rsid w:val="006E08A2"/>
    <w:rsid w:val="006E1E01"/>
    <w:rsid w:val="006E1E07"/>
    <w:rsid w:val="006E1F01"/>
    <w:rsid w:val="006E4915"/>
    <w:rsid w:val="006F52D4"/>
    <w:rsid w:val="0070065B"/>
    <w:rsid w:val="007010D9"/>
    <w:rsid w:val="00707604"/>
    <w:rsid w:val="0071002A"/>
    <w:rsid w:val="00715B77"/>
    <w:rsid w:val="007172F9"/>
    <w:rsid w:val="00717776"/>
    <w:rsid w:val="00721A57"/>
    <w:rsid w:val="0072672F"/>
    <w:rsid w:val="0072757C"/>
    <w:rsid w:val="007278D2"/>
    <w:rsid w:val="0073143B"/>
    <w:rsid w:val="00733817"/>
    <w:rsid w:val="00734C37"/>
    <w:rsid w:val="00735293"/>
    <w:rsid w:val="00743AE0"/>
    <w:rsid w:val="007519C3"/>
    <w:rsid w:val="00753939"/>
    <w:rsid w:val="00756321"/>
    <w:rsid w:val="007618CA"/>
    <w:rsid w:val="00763053"/>
    <w:rsid w:val="00763677"/>
    <w:rsid w:val="00765774"/>
    <w:rsid w:val="007677F9"/>
    <w:rsid w:val="0077392F"/>
    <w:rsid w:val="00777D63"/>
    <w:rsid w:val="0078385D"/>
    <w:rsid w:val="00783890"/>
    <w:rsid w:val="00784286"/>
    <w:rsid w:val="0078525D"/>
    <w:rsid w:val="007866F3"/>
    <w:rsid w:val="0078685C"/>
    <w:rsid w:val="00787F7F"/>
    <w:rsid w:val="0079134D"/>
    <w:rsid w:val="00792575"/>
    <w:rsid w:val="00794BF3"/>
    <w:rsid w:val="00795B19"/>
    <w:rsid w:val="0079691B"/>
    <w:rsid w:val="00796F81"/>
    <w:rsid w:val="00797F5B"/>
    <w:rsid w:val="007A19C6"/>
    <w:rsid w:val="007A23C7"/>
    <w:rsid w:val="007A5B7C"/>
    <w:rsid w:val="007A7266"/>
    <w:rsid w:val="007A7537"/>
    <w:rsid w:val="007B220A"/>
    <w:rsid w:val="007B3071"/>
    <w:rsid w:val="007B5841"/>
    <w:rsid w:val="007B5B18"/>
    <w:rsid w:val="007B70BC"/>
    <w:rsid w:val="007C24E2"/>
    <w:rsid w:val="007C2598"/>
    <w:rsid w:val="007C25FC"/>
    <w:rsid w:val="007C2E3E"/>
    <w:rsid w:val="007C3A18"/>
    <w:rsid w:val="007C3FA6"/>
    <w:rsid w:val="007C4DF2"/>
    <w:rsid w:val="007C57A5"/>
    <w:rsid w:val="007C7522"/>
    <w:rsid w:val="007D10D0"/>
    <w:rsid w:val="007D3DE9"/>
    <w:rsid w:val="007D5571"/>
    <w:rsid w:val="007D5ADE"/>
    <w:rsid w:val="007E1510"/>
    <w:rsid w:val="007E4BC8"/>
    <w:rsid w:val="007E5428"/>
    <w:rsid w:val="007E7964"/>
    <w:rsid w:val="007F2691"/>
    <w:rsid w:val="007F282A"/>
    <w:rsid w:val="007F5AD3"/>
    <w:rsid w:val="008031B7"/>
    <w:rsid w:val="00805E66"/>
    <w:rsid w:val="008066DB"/>
    <w:rsid w:val="008078FE"/>
    <w:rsid w:val="00807FF2"/>
    <w:rsid w:val="00810853"/>
    <w:rsid w:val="00815573"/>
    <w:rsid w:val="008172F6"/>
    <w:rsid w:val="008174FD"/>
    <w:rsid w:val="00820E84"/>
    <w:rsid w:val="008220AD"/>
    <w:rsid w:val="008221E1"/>
    <w:rsid w:val="00824491"/>
    <w:rsid w:val="00825BB8"/>
    <w:rsid w:val="0083057F"/>
    <w:rsid w:val="008312E7"/>
    <w:rsid w:val="00831BD5"/>
    <w:rsid w:val="00832048"/>
    <w:rsid w:val="00832F69"/>
    <w:rsid w:val="0083340B"/>
    <w:rsid w:val="00833EC9"/>
    <w:rsid w:val="0083576F"/>
    <w:rsid w:val="00835E53"/>
    <w:rsid w:val="008369D0"/>
    <w:rsid w:val="00836A49"/>
    <w:rsid w:val="008370DF"/>
    <w:rsid w:val="0083774C"/>
    <w:rsid w:val="00845A3D"/>
    <w:rsid w:val="0084677E"/>
    <w:rsid w:val="00853D1B"/>
    <w:rsid w:val="00856B02"/>
    <w:rsid w:val="00856D0D"/>
    <w:rsid w:val="00862A19"/>
    <w:rsid w:val="00872486"/>
    <w:rsid w:val="00875977"/>
    <w:rsid w:val="00875F12"/>
    <w:rsid w:val="00880ADE"/>
    <w:rsid w:val="008812DF"/>
    <w:rsid w:val="008820E6"/>
    <w:rsid w:val="008826B7"/>
    <w:rsid w:val="00882D08"/>
    <w:rsid w:val="0088338F"/>
    <w:rsid w:val="008852E8"/>
    <w:rsid w:val="008902E3"/>
    <w:rsid w:val="00890A2E"/>
    <w:rsid w:val="0089378C"/>
    <w:rsid w:val="008937F6"/>
    <w:rsid w:val="00894147"/>
    <w:rsid w:val="008969D0"/>
    <w:rsid w:val="008A110B"/>
    <w:rsid w:val="008A325C"/>
    <w:rsid w:val="008A4D04"/>
    <w:rsid w:val="008A5767"/>
    <w:rsid w:val="008A5A6C"/>
    <w:rsid w:val="008B152A"/>
    <w:rsid w:val="008B34C0"/>
    <w:rsid w:val="008B382B"/>
    <w:rsid w:val="008B5794"/>
    <w:rsid w:val="008B7064"/>
    <w:rsid w:val="008B75F4"/>
    <w:rsid w:val="008C11DB"/>
    <w:rsid w:val="008C2F77"/>
    <w:rsid w:val="008C5642"/>
    <w:rsid w:val="008C5924"/>
    <w:rsid w:val="008C6062"/>
    <w:rsid w:val="008D24CB"/>
    <w:rsid w:val="008D2C82"/>
    <w:rsid w:val="008D38D8"/>
    <w:rsid w:val="008D4B4D"/>
    <w:rsid w:val="008D5A60"/>
    <w:rsid w:val="008D6D94"/>
    <w:rsid w:val="008D6EF9"/>
    <w:rsid w:val="008E33AA"/>
    <w:rsid w:val="008E59AC"/>
    <w:rsid w:val="008E6D15"/>
    <w:rsid w:val="008F1639"/>
    <w:rsid w:val="008F3A3D"/>
    <w:rsid w:val="008F5AA1"/>
    <w:rsid w:val="00900070"/>
    <w:rsid w:val="00900417"/>
    <w:rsid w:val="009020F0"/>
    <w:rsid w:val="00905402"/>
    <w:rsid w:val="00906F79"/>
    <w:rsid w:val="00907CED"/>
    <w:rsid w:val="00907EF1"/>
    <w:rsid w:val="00910267"/>
    <w:rsid w:val="0091069B"/>
    <w:rsid w:val="009111F6"/>
    <w:rsid w:val="00912699"/>
    <w:rsid w:val="009130E3"/>
    <w:rsid w:val="009145E4"/>
    <w:rsid w:val="00917083"/>
    <w:rsid w:val="0091736F"/>
    <w:rsid w:val="00921DA6"/>
    <w:rsid w:val="00921E9D"/>
    <w:rsid w:val="00923AA6"/>
    <w:rsid w:val="00924D1F"/>
    <w:rsid w:val="0092767B"/>
    <w:rsid w:val="00927B1C"/>
    <w:rsid w:val="00927B26"/>
    <w:rsid w:val="00930A27"/>
    <w:rsid w:val="00930EAD"/>
    <w:rsid w:val="00931385"/>
    <w:rsid w:val="00932CC4"/>
    <w:rsid w:val="00934D2A"/>
    <w:rsid w:val="009360F4"/>
    <w:rsid w:val="009377FA"/>
    <w:rsid w:val="00940186"/>
    <w:rsid w:val="009418DC"/>
    <w:rsid w:val="009421CC"/>
    <w:rsid w:val="009434B0"/>
    <w:rsid w:val="00943648"/>
    <w:rsid w:val="0095046B"/>
    <w:rsid w:val="0095427C"/>
    <w:rsid w:val="009553CA"/>
    <w:rsid w:val="0095716F"/>
    <w:rsid w:val="00962D60"/>
    <w:rsid w:val="00963453"/>
    <w:rsid w:val="009644C0"/>
    <w:rsid w:val="0096688E"/>
    <w:rsid w:val="0096693A"/>
    <w:rsid w:val="00971FC2"/>
    <w:rsid w:val="009744F9"/>
    <w:rsid w:val="00974571"/>
    <w:rsid w:val="00975A8D"/>
    <w:rsid w:val="00975FB1"/>
    <w:rsid w:val="0097760C"/>
    <w:rsid w:val="00977644"/>
    <w:rsid w:val="00980CCE"/>
    <w:rsid w:val="009832A9"/>
    <w:rsid w:val="00984A92"/>
    <w:rsid w:val="00985B73"/>
    <w:rsid w:val="00990763"/>
    <w:rsid w:val="00992F00"/>
    <w:rsid w:val="00996F4D"/>
    <w:rsid w:val="00996F79"/>
    <w:rsid w:val="00997266"/>
    <w:rsid w:val="009A0B8C"/>
    <w:rsid w:val="009A1B85"/>
    <w:rsid w:val="009A299C"/>
    <w:rsid w:val="009A30BC"/>
    <w:rsid w:val="009A6449"/>
    <w:rsid w:val="009A67CD"/>
    <w:rsid w:val="009B3F49"/>
    <w:rsid w:val="009B446C"/>
    <w:rsid w:val="009B55AE"/>
    <w:rsid w:val="009B65BB"/>
    <w:rsid w:val="009B744D"/>
    <w:rsid w:val="009C21B3"/>
    <w:rsid w:val="009C4735"/>
    <w:rsid w:val="009C4ED4"/>
    <w:rsid w:val="009C61EF"/>
    <w:rsid w:val="009C6F48"/>
    <w:rsid w:val="009C71B4"/>
    <w:rsid w:val="009D2C1C"/>
    <w:rsid w:val="009D3462"/>
    <w:rsid w:val="009D40FB"/>
    <w:rsid w:val="009D57EA"/>
    <w:rsid w:val="009D5B26"/>
    <w:rsid w:val="009D66D7"/>
    <w:rsid w:val="009E02FB"/>
    <w:rsid w:val="009E0847"/>
    <w:rsid w:val="009E3062"/>
    <w:rsid w:val="009E3319"/>
    <w:rsid w:val="009F09D0"/>
    <w:rsid w:val="009F0A69"/>
    <w:rsid w:val="009F1FAA"/>
    <w:rsid w:val="009F2A64"/>
    <w:rsid w:val="009F6C67"/>
    <w:rsid w:val="009F704A"/>
    <w:rsid w:val="00A00A2A"/>
    <w:rsid w:val="00A01DB8"/>
    <w:rsid w:val="00A029F1"/>
    <w:rsid w:val="00A03D09"/>
    <w:rsid w:val="00A05917"/>
    <w:rsid w:val="00A05F6F"/>
    <w:rsid w:val="00A10026"/>
    <w:rsid w:val="00A10399"/>
    <w:rsid w:val="00A13619"/>
    <w:rsid w:val="00A13A9C"/>
    <w:rsid w:val="00A15567"/>
    <w:rsid w:val="00A15856"/>
    <w:rsid w:val="00A1782C"/>
    <w:rsid w:val="00A1783B"/>
    <w:rsid w:val="00A17FBB"/>
    <w:rsid w:val="00A21C12"/>
    <w:rsid w:val="00A22374"/>
    <w:rsid w:val="00A324A1"/>
    <w:rsid w:val="00A35B4A"/>
    <w:rsid w:val="00A40894"/>
    <w:rsid w:val="00A442F3"/>
    <w:rsid w:val="00A511C7"/>
    <w:rsid w:val="00A51208"/>
    <w:rsid w:val="00A56C22"/>
    <w:rsid w:val="00A57A77"/>
    <w:rsid w:val="00A618B8"/>
    <w:rsid w:val="00A727F6"/>
    <w:rsid w:val="00A73116"/>
    <w:rsid w:val="00A74A6F"/>
    <w:rsid w:val="00A75E36"/>
    <w:rsid w:val="00A80649"/>
    <w:rsid w:val="00A85288"/>
    <w:rsid w:val="00A9235A"/>
    <w:rsid w:val="00A95CF7"/>
    <w:rsid w:val="00A95E26"/>
    <w:rsid w:val="00A96ADF"/>
    <w:rsid w:val="00AA08D1"/>
    <w:rsid w:val="00AA19C1"/>
    <w:rsid w:val="00AA1A9F"/>
    <w:rsid w:val="00AA268F"/>
    <w:rsid w:val="00AA2882"/>
    <w:rsid w:val="00AA293A"/>
    <w:rsid w:val="00AB0C96"/>
    <w:rsid w:val="00AB384A"/>
    <w:rsid w:val="00AB43F4"/>
    <w:rsid w:val="00AB5FA0"/>
    <w:rsid w:val="00AC16A4"/>
    <w:rsid w:val="00AC23BE"/>
    <w:rsid w:val="00AC26CF"/>
    <w:rsid w:val="00AC3256"/>
    <w:rsid w:val="00AC5234"/>
    <w:rsid w:val="00AC64E3"/>
    <w:rsid w:val="00AC665F"/>
    <w:rsid w:val="00AC7BDD"/>
    <w:rsid w:val="00AD03DC"/>
    <w:rsid w:val="00AD0D09"/>
    <w:rsid w:val="00AD208A"/>
    <w:rsid w:val="00AD26BE"/>
    <w:rsid w:val="00AD5148"/>
    <w:rsid w:val="00AE0598"/>
    <w:rsid w:val="00AE121F"/>
    <w:rsid w:val="00AE44CE"/>
    <w:rsid w:val="00AE63F6"/>
    <w:rsid w:val="00AE7619"/>
    <w:rsid w:val="00AF0F6D"/>
    <w:rsid w:val="00AF2481"/>
    <w:rsid w:val="00AF2BA9"/>
    <w:rsid w:val="00AF4034"/>
    <w:rsid w:val="00AF6A31"/>
    <w:rsid w:val="00B00B90"/>
    <w:rsid w:val="00B024A1"/>
    <w:rsid w:val="00B03242"/>
    <w:rsid w:val="00B04041"/>
    <w:rsid w:val="00B04D53"/>
    <w:rsid w:val="00B0608C"/>
    <w:rsid w:val="00B07ACE"/>
    <w:rsid w:val="00B1394E"/>
    <w:rsid w:val="00B21014"/>
    <w:rsid w:val="00B24DCE"/>
    <w:rsid w:val="00B25F30"/>
    <w:rsid w:val="00B271A0"/>
    <w:rsid w:val="00B32716"/>
    <w:rsid w:val="00B33CF2"/>
    <w:rsid w:val="00B346D4"/>
    <w:rsid w:val="00B34CE5"/>
    <w:rsid w:val="00B3720B"/>
    <w:rsid w:val="00B402AE"/>
    <w:rsid w:val="00B43219"/>
    <w:rsid w:val="00B5137E"/>
    <w:rsid w:val="00B5685D"/>
    <w:rsid w:val="00B5708C"/>
    <w:rsid w:val="00B57E8E"/>
    <w:rsid w:val="00B62995"/>
    <w:rsid w:val="00B63615"/>
    <w:rsid w:val="00B7066C"/>
    <w:rsid w:val="00B72A4B"/>
    <w:rsid w:val="00B73A94"/>
    <w:rsid w:val="00B76482"/>
    <w:rsid w:val="00B76A77"/>
    <w:rsid w:val="00B774D8"/>
    <w:rsid w:val="00B80262"/>
    <w:rsid w:val="00B80BE5"/>
    <w:rsid w:val="00B823E5"/>
    <w:rsid w:val="00B8358A"/>
    <w:rsid w:val="00B842D3"/>
    <w:rsid w:val="00B850FA"/>
    <w:rsid w:val="00B852E1"/>
    <w:rsid w:val="00B867A6"/>
    <w:rsid w:val="00B8731A"/>
    <w:rsid w:val="00B873A1"/>
    <w:rsid w:val="00B90DCE"/>
    <w:rsid w:val="00B91AF6"/>
    <w:rsid w:val="00BA39CF"/>
    <w:rsid w:val="00BA664C"/>
    <w:rsid w:val="00BA6995"/>
    <w:rsid w:val="00BA7756"/>
    <w:rsid w:val="00BB1D9A"/>
    <w:rsid w:val="00BB2667"/>
    <w:rsid w:val="00BB510B"/>
    <w:rsid w:val="00BB6220"/>
    <w:rsid w:val="00BC1F58"/>
    <w:rsid w:val="00BC24FE"/>
    <w:rsid w:val="00BC5194"/>
    <w:rsid w:val="00BC545C"/>
    <w:rsid w:val="00BC7F11"/>
    <w:rsid w:val="00BD07F4"/>
    <w:rsid w:val="00BD2D02"/>
    <w:rsid w:val="00BD4995"/>
    <w:rsid w:val="00BD660A"/>
    <w:rsid w:val="00BD663B"/>
    <w:rsid w:val="00BD78DA"/>
    <w:rsid w:val="00BE0B0B"/>
    <w:rsid w:val="00BE1E9C"/>
    <w:rsid w:val="00BE2B00"/>
    <w:rsid w:val="00BE3BED"/>
    <w:rsid w:val="00BE444A"/>
    <w:rsid w:val="00BE513B"/>
    <w:rsid w:val="00BF15ED"/>
    <w:rsid w:val="00BF2CF8"/>
    <w:rsid w:val="00BF4DD8"/>
    <w:rsid w:val="00BF6108"/>
    <w:rsid w:val="00BF7DBA"/>
    <w:rsid w:val="00C0225C"/>
    <w:rsid w:val="00C02F26"/>
    <w:rsid w:val="00C04781"/>
    <w:rsid w:val="00C06B91"/>
    <w:rsid w:val="00C119A1"/>
    <w:rsid w:val="00C12438"/>
    <w:rsid w:val="00C13C48"/>
    <w:rsid w:val="00C142CD"/>
    <w:rsid w:val="00C218E8"/>
    <w:rsid w:val="00C22E30"/>
    <w:rsid w:val="00C31AF6"/>
    <w:rsid w:val="00C36CB9"/>
    <w:rsid w:val="00C42C9C"/>
    <w:rsid w:val="00C43016"/>
    <w:rsid w:val="00C43060"/>
    <w:rsid w:val="00C4352F"/>
    <w:rsid w:val="00C43DAD"/>
    <w:rsid w:val="00C44C84"/>
    <w:rsid w:val="00C45280"/>
    <w:rsid w:val="00C4654E"/>
    <w:rsid w:val="00C46B23"/>
    <w:rsid w:val="00C51D7A"/>
    <w:rsid w:val="00C56FD0"/>
    <w:rsid w:val="00C572A0"/>
    <w:rsid w:val="00C606FD"/>
    <w:rsid w:val="00C607FB"/>
    <w:rsid w:val="00C64730"/>
    <w:rsid w:val="00C67484"/>
    <w:rsid w:val="00C7222D"/>
    <w:rsid w:val="00C7276F"/>
    <w:rsid w:val="00C73E8C"/>
    <w:rsid w:val="00C761A5"/>
    <w:rsid w:val="00C83687"/>
    <w:rsid w:val="00C85D37"/>
    <w:rsid w:val="00C8643E"/>
    <w:rsid w:val="00C93448"/>
    <w:rsid w:val="00C93C87"/>
    <w:rsid w:val="00C9706E"/>
    <w:rsid w:val="00CA06F7"/>
    <w:rsid w:val="00CA6EBB"/>
    <w:rsid w:val="00CB3677"/>
    <w:rsid w:val="00CB5ABE"/>
    <w:rsid w:val="00CC48CD"/>
    <w:rsid w:val="00CC5799"/>
    <w:rsid w:val="00CC6597"/>
    <w:rsid w:val="00CC689D"/>
    <w:rsid w:val="00CC6F9C"/>
    <w:rsid w:val="00CC77BE"/>
    <w:rsid w:val="00CD1C5B"/>
    <w:rsid w:val="00CD3A2B"/>
    <w:rsid w:val="00CD7A44"/>
    <w:rsid w:val="00CE1E72"/>
    <w:rsid w:val="00CE3A79"/>
    <w:rsid w:val="00CE4D35"/>
    <w:rsid w:val="00CE4D8B"/>
    <w:rsid w:val="00CE6176"/>
    <w:rsid w:val="00CE7732"/>
    <w:rsid w:val="00CF170F"/>
    <w:rsid w:val="00CF1728"/>
    <w:rsid w:val="00CF20C4"/>
    <w:rsid w:val="00CF2AFD"/>
    <w:rsid w:val="00CF42F6"/>
    <w:rsid w:val="00CF465E"/>
    <w:rsid w:val="00CF5F79"/>
    <w:rsid w:val="00CF619A"/>
    <w:rsid w:val="00D01C68"/>
    <w:rsid w:val="00D01F97"/>
    <w:rsid w:val="00D04370"/>
    <w:rsid w:val="00D04930"/>
    <w:rsid w:val="00D04E21"/>
    <w:rsid w:val="00D0627C"/>
    <w:rsid w:val="00D12B9C"/>
    <w:rsid w:val="00D14533"/>
    <w:rsid w:val="00D16A67"/>
    <w:rsid w:val="00D16EC4"/>
    <w:rsid w:val="00D17015"/>
    <w:rsid w:val="00D220AA"/>
    <w:rsid w:val="00D220CB"/>
    <w:rsid w:val="00D24F18"/>
    <w:rsid w:val="00D26C1B"/>
    <w:rsid w:val="00D30884"/>
    <w:rsid w:val="00D30D65"/>
    <w:rsid w:val="00D33C57"/>
    <w:rsid w:val="00D424EE"/>
    <w:rsid w:val="00D50626"/>
    <w:rsid w:val="00D50DD6"/>
    <w:rsid w:val="00D5125A"/>
    <w:rsid w:val="00D54652"/>
    <w:rsid w:val="00D549BD"/>
    <w:rsid w:val="00D54A80"/>
    <w:rsid w:val="00D54B9C"/>
    <w:rsid w:val="00D576CC"/>
    <w:rsid w:val="00D61047"/>
    <w:rsid w:val="00D63305"/>
    <w:rsid w:val="00D65F9F"/>
    <w:rsid w:val="00D71FF4"/>
    <w:rsid w:val="00D72E1B"/>
    <w:rsid w:val="00D730D7"/>
    <w:rsid w:val="00D74A58"/>
    <w:rsid w:val="00D77BCC"/>
    <w:rsid w:val="00D807C3"/>
    <w:rsid w:val="00D828D3"/>
    <w:rsid w:val="00D84E39"/>
    <w:rsid w:val="00D85768"/>
    <w:rsid w:val="00D8669C"/>
    <w:rsid w:val="00D8759A"/>
    <w:rsid w:val="00D90DBE"/>
    <w:rsid w:val="00D94671"/>
    <w:rsid w:val="00D94C43"/>
    <w:rsid w:val="00D952FF"/>
    <w:rsid w:val="00D95DAC"/>
    <w:rsid w:val="00D95EDC"/>
    <w:rsid w:val="00D96302"/>
    <w:rsid w:val="00D964C5"/>
    <w:rsid w:val="00DA1082"/>
    <w:rsid w:val="00DA1C1B"/>
    <w:rsid w:val="00DA678B"/>
    <w:rsid w:val="00DA72C8"/>
    <w:rsid w:val="00DB06E3"/>
    <w:rsid w:val="00DB0883"/>
    <w:rsid w:val="00DB2662"/>
    <w:rsid w:val="00DB3073"/>
    <w:rsid w:val="00DB43E3"/>
    <w:rsid w:val="00DC1814"/>
    <w:rsid w:val="00DC35B4"/>
    <w:rsid w:val="00DC565D"/>
    <w:rsid w:val="00DC60D2"/>
    <w:rsid w:val="00DC742F"/>
    <w:rsid w:val="00DD240F"/>
    <w:rsid w:val="00DD29DC"/>
    <w:rsid w:val="00DD423F"/>
    <w:rsid w:val="00DD792C"/>
    <w:rsid w:val="00DE1990"/>
    <w:rsid w:val="00DE1E9B"/>
    <w:rsid w:val="00DE3545"/>
    <w:rsid w:val="00DE41EC"/>
    <w:rsid w:val="00DE49A7"/>
    <w:rsid w:val="00DE4E4C"/>
    <w:rsid w:val="00DE5BA7"/>
    <w:rsid w:val="00DE6A57"/>
    <w:rsid w:val="00DE7B5F"/>
    <w:rsid w:val="00DF245D"/>
    <w:rsid w:val="00DF59CB"/>
    <w:rsid w:val="00DF6465"/>
    <w:rsid w:val="00DF7594"/>
    <w:rsid w:val="00E01438"/>
    <w:rsid w:val="00E02191"/>
    <w:rsid w:val="00E02C91"/>
    <w:rsid w:val="00E04F8F"/>
    <w:rsid w:val="00E06549"/>
    <w:rsid w:val="00E10105"/>
    <w:rsid w:val="00E113D9"/>
    <w:rsid w:val="00E14CD4"/>
    <w:rsid w:val="00E16E47"/>
    <w:rsid w:val="00E22533"/>
    <w:rsid w:val="00E27335"/>
    <w:rsid w:val="00E31041"/>
    <w:rsid w:val="00E319C8"/>
    <w:rsid w:val="00E32004"/>
    <w:rsid w:val="00E36419"/>
    <w:rsid w:val="00E40489"/>
    <w:rsid w:val="00E40F84"/>
    <w:rsid w:val="00E42C66"/>
    <w:rsid w:val="00E44D85"/>
    <w:rsid w:val="00E4630C"/>
    <w:rsid w:val="00E47BD0"/>
    <w:rsid w:val="00E47FE1"/>
    <w:rsid w:val="00E5007D"/>
    <w:rsid w:val="00E5008D"/>
    <w:rsid w:val="00E51A77"/>
    <w:rsid w:val="00E525F4"/>
    <w:rsid w:val="00E56073"/>
    <w:rsid w:val="00E570C2"/>
    <w:rsid w:val="00E60D93"/>
    <w:rsid w:val="00E61B0E"/>
    <w:rsid w:val="00E62C88"/>
    <w:rsid w:val="00E635C9"/>
    <w:rsid w:val="00E64F92"/>
    <w:rsid w:val="00E652F6"/>
    <w:rsid w:val="00E658C9"/>
    <w:rsid w:val="00E72B55"/>
    <w:rsid w:val="00E73155"/>
    <w:rsid w:val="00E73FD8"/>
    <w:rsid w:val="00E74AC9"/>
    <w:rsid w:val="00E75E66"/>
    <w:rsid w:val="00E7765D"/>
    <w:rsid w:val="00E833DB"/>
    <w:rsid w:val="00E83FE6"/>
    <w:rsid w:val="00E8742C"/>
    <w:rsid w:val="00E93107"/>
    <w:rsid w:val="00E94E93"/>
    <w:rsid w:val="00E95FE8"/>
    <w:rsid w:val="00EA20A7"/>
    <w:rsid w:val="00EA23E2"/>
    <w:rsid w:val="00EA487A"/>
    <w:rsid w:val="00EA6B21"/>
    <w:rsid w:val="00EA7174"/>
    <w:rsid w:val="00EB0F5C"/>
    <w:rsid w:val="00EB4240"/>
    <w:rsid w:val="00EB4424"/>
    <w:rsid w:val="00EB4BEC"/>
    <w:rsid w:val="00EB5C0D"/>
    <w:rsid w:val="00EC21A1"/>
    <w:rsid w:val="00EC485B"/>
    <w:rsid w:val="00EC58A2"/>
    <w:rsid w:val="00EC5AE1"/>
    <w:rsid w:val="00EC752C"/>
    <w:rsid w:val="00ED2E3A"/>
    <w:rsid w:val="00ED538E"/>
    <w:rsid w:val="00ED53F9"/>
    <w:rsid w:val="00ED5CBF"/>
    <w:rsid w:val="00ED7950"/>
    <w:rsid w:val="00EE1FE0"/>
    <w:rsid w:val="00EE3550"/>
    <w:rsid w:val="00EE4933"/>
    <w:rsid w:val="00EE5CD8"/>
    <w:rsid w:val="00EF343D"/>
    <w:rsid w:val="00EF4F54"/>
    <w:rsid w:val="00EF4F9B"/>
    <w:rsid w:val="00EF5EDB"/>
    <w:rsid w:val="00EF66F8"/>
    <w:rsid w:val="00EF7247"/>
    <w:rsid w:val="00F00BA2"/>
    <w:rsid w:val="00F02710"/>
    <w:rsid w:val="00F027FA"/>
    <w:rsid w:val="00F042EE"/>
    <w:rsid w:val="00F05A1B"/>
    <w:rsid w:val="00F05EF6"/>
    <w:rsid w:val="00F109A7"/>
    <w:rsid w:val="00F10DDF"/>
    <w:rsid w:val="00F11777"/>
    <w:rsid w:val="00F11ED3"/>
    <w:rsid w:val="00F130CF"/>
    <w:rsid w:val="00F14E4D"/>
    <w:rsid w:val="00F15538"/>
    <w:rsid w:val="00F15A7E"/>
    <w:rsid w:val="00F217B3"/>
    <w:rsid w:val="00F21B3D"/>
    <w:rsid w:val="00F222F5"/>
    <w:rsid w:val="00F23F30"/>
    <w:rsid w:val="00F265D2"/>
    <w:rsid w:val="00F26985"/>
    <w:rsid w:val="00F30413"/>
    <w:rsid w:val="00F33E5E"/>
    <w:rsid w:val="00F36498"/>
    <w:rsid w:val="00F400D4"/>
    <w:rsid w:val="00F4017D"/>
    <w:rsid w:val="00F406A6"/>
    <w:rsid w:val="00F40B69"/>
    <w:rsid w:val="00F41E06"/>
    <w:rsid w:val="00F44869"/>
    <w:rsid w:val="00F50406"/>
    <w:rsid w:val="00F5146D"/>
    <w:rsid w:val="00F52063"/>
    <w:rsid w:val="00F53398"/>
    <w:rsid w:val="00F53A6D"/>
    <w:rsid w:val="00F549CA"/>
    <w:rsid w:val="00F55313"/>
    <w:rsid w:val="00F5599E"/>
    <w:rsid w:val="00F56583"/>
    <w:rsid w:val="00F573E8"/>
    <w:rsid w:val="00F57A82"/>
    <w:rsid w:val="00F63220"/>
    <w:rsid w:val="00F64A70"/>
    <w:rsid w:val="00F64FC8"/>
    <w:rsid w:val="00F65535"/>
    <w:rsid w:val="00F66316"/>
    <w:rsid w:val="00F7047B"/>
    <w:rsid w:val="00F70F56"/>
    <w:rsid w:val="00F7282D"/>
    <w:rsid w:val="00F72CAF"/>
    <w:rsid w:val="00F72D35"/>
    <w:rsid w:val="00F75885"/>
    <w:rsid w:val="00F76001"/>
    <w:rsid w:val="00F80EE1"/>
    <w:rsid w:val="00F85F60"/>
    <w:rsid w:val="00F8738D"/>
    <w:rsid w:val="00F90DFB"/>
    <w:rsid w:val="00F92A89"/>
    <w:rsid w:val="00F9721B"/>
    <w:rsid w:val="00FA026C"/>
    <w:rsid w:val="00FA0BE9"/>
    <w:rsid w:val="00FA2FB7"/>
    <w:rsid w:val="00FA4373"/>
    <w:rsid w:val="00FA60B2"/>
    <w:rsid w:val="00FA758F"/>
    <w:rsid w:val="00FB0027"/>
    <w:rsid w:val="00FB07BC"/>
    <w:rsid w:val="00FB090A"/>
    <w:rsid w:val="00FB3154"/>
    <w:rsid w:val="00FB3924"/>
    <w:rsid w:val="00FB52B0"/>
    <w:rsid w:val="00FB5487"/>
    <w:rsid w:val="00FB59C4"/>
    <w:rsid w:val="00FB6A75"/>
    <w:rsid w:val="00FB72CE"/>
    <w:rsid w:val="00FB7E00"/>
    <w:rsid w:val="00FC20B1"/>
    <w:rsid w:val="00FC3EBF"/>
    <w:rsid w:val="00FC40A4"/>
    <w:rsid w:val="00FC4EF8"/>
    <w:rsid w:val="00FC5A46"/>
    <w:rsid w:val="00FD287F"/>
    <w:rsid w:val="00FD6EB6"/>
    <w:rsid w:val="00FE19FE"/>
    <w:rsid w:val="00FF0049"/>
    <w:rsid w:val="00FF06B7"/>
    <w:rsid w:val="00FF0D61"/>
    <w:rsid w:val="00FF102F"/>
    <w:rsid w:val="00FF16B7"/>
    <w:rsid w:val="00FF1BBF"/>
    <w:rsid w:val="00FF2C93"/>
    <w:rsid w:val="00FF63EB"/>
    <w:rsid w:val="00FF68E2"/>
    <w:rsid w:val="02456871"/>
    <w:rsid w:val="02B93CE2"/>
    <w:rsid w:val="02C5027C"/>
    <w:rsid w:val="03833693"/>
    <w:rsid w:val="03A7176F"/>
    <w:rsid w:val="043A1D29"/>
    <w:rsid w:val="047F5438"/>
    <w:rsid w:val="04E809CD"/>
    <w:rsid w:val="05254343"/>
    <w:rsid w:val="05FB3646"/>
    <w:rsid w:val="06AE7A2D"/>
    <w:rsid w:val="08843EB6"/>
    <w:rsid w:val="08E90641"/>
    <w:rsid w:val="0BDD6741"/>
    <w:rsid w:val="0DB31D1E"/>
    <w:rsid w:val="0E621756"/>
    <w:rsid w:val="0E935616"/>
    <w:rsid w:val="0FA42C04"/>
    <w:rsid w:val="131B1A90"/>
    <w:rsid w:val="133201FA"/>
    <w:rsid w:val="14105B46"/>
    <w:rsid w:val="1482615B"/>
    <w:rsid w:val="14F365BC"/>
    <w:rsid w:val="15723D67"/>
    <w:rsid w:val="16375464"/>
    <w:rsid w:val="16827E6F"/>
    <w:rsid w:val="17504371"/>
    <w:rsid w:val="17C933D6"/>
    <w:rsid w:val="189E1722"/>
    <w:rsid w:val="19322B1E"/>
    <w:rsid w:val="1995355D"/>
    <w:rsid w:val="19CD4B3C"/>
    <w:rsid w:val="1A165ADB"/>
    <w:rsid w:val="1AAC2BC9"/>
    <w:rsid w:val="1D391DF0"/>
    <w:rsid w:val="1F092381"/>
    <w:rsid w:val="20B069B4"/>
    <w:rsid w:val="21FE3F85"/>
    <w:rsid w:val="222F65DD"/>
    <w:rsid w:val="22C34E8E"/>
    <w:rsid w:val="22D10806"/>
    <w:rsid w:val="23320E7F"/>
    <w:rsid w:val="262E45AA"/>
    <w:rsid w:val="266F44F8"/>
    <w:rsid w:val="27BA6DDC"/>
    <w:rsid w:val="28776570"/>
    <w:rsid w:val="2878799B"/>
    <w:rsid w:val="29677C26"/>
    <w:rsid w:val="29AC4D44"/>
    <w:rsid w:val="2E0E13EC"/>
    <w:rsid w:val="2EFC0DF4"/>
    <w:rsid w:val="303B7CCB"/>
    <w:rsid w:val="31461917"/>
    <w:rsid w:val="32DB5C8B"/>
    <w:rsid w:val="33A03615"/>
    <w:rsid w:val="33A06014"/>
    <w:rsid w:val="33B3512D"/>
    <w:rsid w:val="3475759F"/>
    <w:rsid w:val="36F90EE9"/>
    <w:rsid w:val="374D59DE"/>
    <w:rsid w:val="376142C6"/>
    <w:rsid w:val="38756261"/>
    <w:rsid w:val="38F87F6F"/>
    <w:rsid w:val="398A3585"/>
    <w:rsid w:val="3C1C7E8A"/>
    <w:rsid w:val="3C511A67"/>
    <w:rsid w:val="3CC02ADF"/>
    <w:rsid w:val="3EE26C7D"/>
    <w:rsid w:val="425D0AE1"/>
    <w:rsid w:val="427D2982"/>
    <w:rsid w:val="432F1FDE"/>
    <w:rsid w:val="43567A6C"/>
    <w:rsid w:val="43D732F4"/>
    <w:rsid w:val="44B848D5"/>
    <w:rsid w:val="44C56736"/>
    <w:rsid w:val="45E161EC"/>
    <w:rsid w:val="45EA1BA6"/>
    <w:rsid w:val="466D3EC7"/>
    <w:rsid w:val="47EF4B7D"/>
    <w:rsid w:val="47FB56AC"/>
    <w:rsid w:val="4A2C2032"/>
    <w:rsid w:val="4BAC3962"/>
    <w:rsid w:val="4BCC7FD2"/>
    <w:rsid w:val="4C4B7076"/>
    <w:rsid w:val="4C946DB0"/>
    <w:rsid w:val="4CAB20F4"/>
    <w:rsid w:val="4CC163E1"/>
    <w:rsid w:val="50F12635"/>
    <w:rsid w:val="535967F4"/>
    <w:rsid w:val="56D00465"/>
    <w:rsid w:val="57122A36"/>
    <w:rsid w:val="58412B43"/>
    <w:rsid w:val="5963757B"/>
    <w:rsid w:val="597D09EE"/>
    <w:rsid w:val="59846711"/>
    <w:rsid w:val="598922AC"/>
    <w:rsid w:val="5A016F11"/>
    <w:rsid w:val="5A237CB6"/>
    <w:rsid w:val="5AE8203F"/>
    <w:rsid w:val="5BE65A84"/>
    <w:rsid w:val="5E1B7E94"/>
    <w:rsid w:val="5FE06489"/>
    <w:rsid w:val="603819EF"/>
    <w:rsid w:val="62BB667C"/>
    <w:rsid w:val="63EC3F1D"/>
    <w:rsid w:val="649F12D0"/>
    <w:rsid w:val="659247EC"/>
    <w:rsid w:val="661379D3"/>
    <w:rsid w:val="681C5A31"/>
    <w:rsid w:val="68EC7C41"/>
    <w:rsid w:val="6A54544C"/>
    <w:rsid w:val="6C251541"/>
    <w:rsid w:val="6C3254E0"/>
    <w:rsid w:val="6DC63624"/>
    <w:rsid w:val="70B2039F"/>
    <w:rsid w:val="70D06C8B"/>
    <w:rsid w:val="71127C1E"/>
    <w:rsid w:val="722C6A7E"/>
    <w:rsid w:val="739C7B1C"/>
    <w:rsid w:val="752E0105"/>
    <w:rsid w:val="764D5A31"/>
    <w:rsid w:val="76BB097E"/>
    <w:rsid w:val="7A4A30E7"/>
    <w:rsid w:val="7B4C02D8"/>
    <w:rsid w:val="7C4A6D8F"/>
    <w:rsid w:val="7D1F786B"/>
    <w:rsid w:val="7D953B24"/>
    <w:rsid w:val="7E2B07D6"/>
    <w:rsid w:val="7EF16986"/>
    <w:rsid w:val="7F1F2B49"/>
    <w:rsid w:val="7F690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3"/>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link w:val="34"/>
    <w:qFormat/>
    <w:uiPriority w:val="0"/>
    <w:pPr>
      <w:numPr>
        <w:ilvl w:val="3"/>
        <w:numId w:val="1"/>
      </w:numPr>
      <w:adjustRightInd w:val="0"/>
      <w:snapToGrid w:val="0"/>
      <w:spacing w:before="120" w:line="360" w:lineRule="auto"/>
      <w:jc w:val="left"/>
      <w:outlineLvl w:val="3"/>
    </w:pPr>
    <w:rPr>
      <w:rFonts w:ascii="Arial" w:hAnsi="Arial"/>
      <w:sz w:val="28"/>
      <w:szCs w:val="28"/>
    </w:rPr>
  </w:style>
  <w:style w:type="paragraph" w:styleId="5">
    <w:name w:val="heading 5"/>
    <w:basedOn w:val="1"/>
    <w:next w:val="1"/>
    <w:link w:val="36"/>
    <w:qFormat/>
    <w:uiPriority w:val="0"/>
    <w:pPr>
      <w:numPr>
        <w:ilvl w:val="4"/>
        <w:numId w:val="1"/>
      </w:numPr>
      <w:adjustRightInd w:val="0"/>
      <w:snapToGrid w:val="0"/>
      <w:spacing w:before="120" w:line="360" w:lineRule="auto"/>
      <w:jc w:val="left"/>
      <w:outlineLvl w:val="4"/>
    </w:pPr>
    <w:rPr>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Body Text"/>
    <w:basedOn w:val="1"/>
    <w:qFormat/>
    <w:uiPriority w:val="0"/>
    <w:pPr>
      <w:spacing w:after="120"/>
    </w:pPr>
  </w:style>
  <w:style w:type="paragraph" w:styleId="9">
    <w:name w:val="Body Text Indent"/>
    <w:basedOn w:val="1"/>
    <w:qFormat/>
    <w:uiPriority w:val="0"/>
    <w:pPr>
      <w:tabs>
        <w:tab w:val="left" w:pos="1980"/>
      </w:tabs>
      <w:ind w:left="359" w:leftChars="171" w:firstLine="74"/>
    </w:p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cs="宋体"/>
    </w:rPr>
  </w:style>
  <w:style w:type="paragraph" w:styleId="12">
    <w:name w:val="Date"/>
    <w:basedOn w:val="1"/>
    <w:next w:val="1"/>
    <w:qFormat/>
    <w:uiPriority w:val="0"/>
    <w:pPr>
      <w:ind w:left="100" w:leftChars="2500"/>
    </w:pPr>
    <w:rPr>
      <w:sz w:val="24"/>
      <w:szCs w:val="24"/>
    </w:rPr>
  </w:style>
  <w:style w:type="paragraph" w:styleId="13">
    <w:name w:val="Body Text Indent 2"/>
    <w:basedOn w:val="1"/>
    <w:qFormat/>
    <w:uiPriority w:val="0"/>
    <w:pPr>
      <w:spacing w:line="360" w:lineRule="exact"/>
      <w:ind w:left="840" w:leftChars="400"/>
      <w:textAlignment w:val="baseline"/>
    </w:pPr>
    <w:rPr>
      <w:rFonts w:ascii="方正细圆简体" w:hAnsi="宋体" w:eastAsia="方正细圆简体" w:cs="方正细圆简体"/>
      <w:sz w:val="24"/>
      <w:szCs w:val="24"/>
    </w:rPr>
  </w:style>
  <w:style w:type="paragraph" w:styleId="14">
    <w:name w:val="Balloon Text"/>
    <w:basedOn w:val="1"/>
    <w:semiHidden/>
    <w:qFormat/>
    <w:uiPriority w:val="0"/>
    <w:rPr>
      <w:sz w:val="18"/>
      <w:szCs w:val="18"/>
    </w:rPr>
  </w:style>
  <w:style w:type="paragraph" w:styleId="15">
    <w:name w:val="footer"/>
    <w:basedOn w:val="1"/>
    <w:link w:val="37"/>
    <w:qFormat/>
    <w:uiPriority w:val="0"/>
    <w:pPr>
      <w:tabs>
        <w:tab w:val="center" w:pos="4153"/>
        <w:tab w:val="right" w:pos="8306"/>
      </w:tabs>
      <w:snapToGrid w:val="0"/>
      <w:jc w:val="left"/>
    </w:pPr>
    <w:rPr>
      <w:sz w:val="18"/>
      <w:szCs w:val="18"/>
    </w:rPr>
  </w:style>
  <w:style w:type="paragraph" w:styleId="16">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qFormat/>
    <w:uiPriority w:val="0"/>
  </w:style>
  <w:style w:type="paragraph" w:styleId="18">
    <w:name w:val="Body Text Indent 3"/>
    <w:basedOn w:val="1"/>
    <w:qFormat/>
    <w:uiPriority w:val="0"/>
    <w:pPr>
      <w:ind w:firstLine="240" w:firstLineChars="100"/>
    </w:pPr>
    <w:rPr>
      <w:rFonts w:ascii="方正细圆简体" w:hAnsi="宋体" w:eastAsia="方正细圆简体" w:cs="方正细圆简体"/>
      <w:sz w:val="24"/>
      <w:szCs w:val="24"/>
    </w:rPr>
  </w:style>
  <w:style w:type="paragraph" w:styleId="19">
    <w:name w:val="toc 2"/>
    <w:basedOn w:val="1"/>
    <w:next w:val="1"/>
    <w:qFormat/>
    <w:uiPriority w:val="0"/>
    <w:pPr>
      <w:ind w:left="420" w:leftChars="200"/>
    </w:pPr>
  </w:style>
  <w:style w:type="paragraph" w:styleId="20">
    <w:name w:val="Body Text 2"/>
    <w:basedOn w:val="1"/>
    <w:link w:val="32"/>
    <w:qFormat/>
    <w:uiPriority w:val="0"/>
    <w:pPr>
      <w:spacing w:after="120" w:line="480" w:lineRule="auto"/>
    </w:pPr>
    <w:rPr>
      <w:sz w:val="24"/>
      <w:szCs w:val="24"/>
    </w:rPr>
  </w:style>
  <w:style w:type="paragraph" w:styleId="21">
    <w:name w:val="Normal (Web)"/>
    <w:basedOn w:val="1"/>
    <w:qFormat/>
    <w:uiPriority w:val="0"/>
    <w:pPr>
      <w:widowControl/>
      <w:spacing w:before="100" w:after="100"/>
      <w:jc w:val="left"/>
    </w:pPr>
    <w:rPr>
      <w:rFonts w:ascii="宋体" w:hAnsi="宋体" w:cs="宋体"/>
      <w:kern w:val="0"/>
      <w:sz w:val="24"/>
      <w:szCs w:val="24"/>
    </w:rPr>
  </w:style>
  <w:style w:type="paragraph" w:styleId="22">
    <w:name w:val="Title"/>
    <w:basedOn w:val="1"/>
    <w:next w:val="1"/>
    <w:qFormat/>
    <w:uiPriority w:val="0"/>
    <w:pPr>
      <w:spacing w:before="240" w:after="60"/>
      <w:jc w:val="center"/>
      <w:outlineLvl w:val="0"/>
    </w:pPr>
    <w:rPr>
      <w:rFonts w:ascii="Cambria" w:hAnsi="Cambria" w:cs="Cambria"/>
      <w:b/>
      <w:bCs/>
      <w:sz w:val="32"/>
      <w:szCs w:val="32"/>
    </w:rPr>
  </w:style>
  <w:style w:type="paragraph" w:styleId="23">
    <w:name w:val="annotation subject"/>
    <w:basedOn w:val="7"/>
    <w:next w:val="7"/>
    <w:semiHidden/>
    <w:qFormat/>
    <w:uiPriority w:val="0"/>
    <w:rPr>
      <w:b/>
      <w:bC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FollowedHyperlink"/>
    <w:qFormat/>
    <w:uiPriority w:val="0"/>
    <w:rPr>
      <w:color w:val="800080"/>
      <w:u w:val="single"/>
    </w:rPr>
  </w:style>
  <w:style w:type="character" w:styleId="29">
    <w:name w:val="Hyperlink"/>
    <w:qFormat/>
    <w:uiPriority w:val="0"/>
    <w:rPr>
      <w:color w:val="0000FF"/>
      <w:u w:val="single"/>
    </w:rPr>
  </w:style>
  <w:style w:type="character" w:styleId="30">
    <w:name w:val="annotation reference"/>
    <w:semiHidden/>
    <w:qFormat/>
    <w:uiPriority w:val="0"/>
    <w:rPr>
      <w:sz w:val="21"/>
      <w:szCs w:val="21"/>
    </w:rPr>
  </w:style>
  <w:style w:type="character" w:customStyle="1" w:styleId="31">
    <w:name w:val="font81"/>
    <w:basedOn w:val="26"/>
    <w:qFormat/>
    <w:uiPriority w:val="0"/>
    <w:rPr>
      <w:rFonts w:hint="eastAsia" w:ascii="宋体" w:hAnsi="宋体" w:eastAsia="宋体" w:cs="宋体"/>
      <w:color w:val="000000"/>
      <w:sz w:val="18"/>
      <w:szCs w:val="18"/>
      <w:u w:val="single"/>
    </w:rPr>
  </w:style>
  <w:style w:type="character" w:customStyle="1" w:styleId="32">
    <w:name w:val="正文文本 2 字符"/>
    <w:link w:val="20"/>
    <w:qFormat/>
    <w:locked/>
    <w:uiPriority w:val="0"/>
    <w:rPr>
      <w:rFonts w:eastAsia="宋体"/>
      <w:kern w:val="2"/>
      <w:sz w:val="24"/>
      <w:szCs w:val="24"/>
    </w:rPr>
  </w:style>
  <w:style w:type="character" w:customStyle="1" w:styleId="33">
    <w:name w:val="标题 1 字符"/>
    <w:link w:val="2"/>
    <w:qFormat/>
    <w:locked/>
    <w:uiPriority w:val="0"/>
    <w:rPr>
      <w:rFonts w:eastAsia="宋体"/>
      <w:b/>
      <w:bCs/>
      <w:kern w:val="44"/>
      <w:sz w:val="44"/>
      <w:szCs w:val="44"/>
      <w:lang w:val="en-US" w:eastAsia="zh-CN"/>
    </w:rPr>
  </w:style>
  <w:style w:type="character" w:customStyle="1" w:styleId="34">
    <w:name w:val="标题 4 字符"/>
    <w:link w:val="4"/>
    <w:qFormat/>
    <w:locked/>
    <w:uiPriority w:val="0"/>
    <w:rPr>
      <w:rFonts w:ascii="Arial" w:hAnsi="Arial"/>
      <w:kern w:val="2"/>
      <w:sz w:val="28"/>
      <w:szCs w:val="28"/>
    </w:rPr>
  </w:style>
  <w:style w:type="character" w:customStyle="1" w:styleId="35">
    <w:name w:val="font31"/>
    <w:basedOn w:val="26"/>
    <w:qFormat/>
    <w:uiPriority w:val="0"/>
    <w:rPr>
      <w:rFonts w:hint="eastAsia" w:ascii="宋体" w:hAnsi="宋体" w:eastAsia="宋体" w:cs="宋体"/>
      <w:color w:val="000000"/>
      <w:sz w:val="18"/>
      <w:szCs w:val="18"/>
      <w:u w:val="none"/>
    </w:rPr>
  </w:style>
  <w:style w:type="character" w:customStyle="1" w:styleId="36">
    <w:name w:val="标题 5 字符"/>
    <w:link w:val="5"/>
    <w:qFormat/>
    <w:locked/>
    <w:uiPriority w:val="0"/>
    <w:rPr>
      <w:kern w:val="2"/>
      <w:sz w:val="28"/>
      <w:szCs w:val="28"/>
    </w:rPr>
  </w:style>
  <w:style w:type="character" w:customStyle="1" w:styleId="37">
    <w:name w:val="页脚 字符"/>
    <w:link w:val="15"/>
    <w:qFormat/>
    <w:locked/>
    <w:uiPriority w:val="0"/>
    <w:rPr>
      <w:rFonts w:eastAsia="宋体"/>
      <w:kern w:val="2"/>
      <w:sz w:val="18"/>
      <w:szCs w:val="18"/>
      <w:lang w:val="en-US" w:eastAsia="zh-CN"/>
    </w:rPr>
  </w:style>
  <w:style w:type="character" w:customStyle="1" w:styleId="38">
    <w:name w:val="Char Char3"/>
    <w:qFormat/>
    <w:uiPriority w:val="0"/>
    <w:rPr>
      <w:kern w:val="2"/>
      <w:sz w:val="18"/>
      <w:szCs w:val="18"/>
    </w:rPr>
  </w:style>
  <w:style w:type="character" w:customStyle="1" w:styleId="39">
    <w:name w:val="页眉 字符"/>
    <w:link w:val="16"/>
    <w:qFormat/>
    <w:locked/>
    <w:uiPriority w:val="0"/>
    <w:rPr>
      <w:rFonts w:eastAsia="宋体"/>
      <w:kern w:val="2"/>
      <w:sz w:val="18"/>
      <w:szCs w:val="18"/>
      <w:lang w:val="en-US" w:eastAsia="zh-CN"/>
    </w:rPr>
  </w:style>
  <w:style w:type="paragraph" w:customStyle="1" w:styleId="4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Times New Roman"/>
      <w:kern w:val="0"/>
      <w:sz w:val="28"/>
      <w:szCs w:val="28"/>
    </w:rPr>
  </w:style>
  <w:style w:type="paragraph" w:customStyle="1" w:styleId="41">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Times New Roman" w:cs="Arial Unicode MS"/>
      <w:kern w:val="0"/>
      <w:sz w:val="28"/>
      <w:szCs w:val="28"/>
    </w:rPr>
  </w:style>
  <w:style w:type="paragraph" w:customStyle="1" w:styleId="4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3">
    <w:name w:val="xl34"/>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Times New Roman" w:cs="Arial Unicode MS"/>
      <w:kern w:val="0"/>
      <w:sz w:val="28"/>
      <w:szCs w:val="28"/>
    </w:rPr>
  </w:style>
  <w:style w:type="paragraph" w:customStyle="1" w:styleId="44">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Times New Roman" w:cs="Arial Unicode MS"/>
      <w:b/>
      <w:bCs/>
      <w:kern w:val="0"/>
      <w:sz w:val="44"/>
      <w:szCs w:val="44"/>
    </w:rPr>
  </w:style>
  <w:style w:type="paragraph" w:styleId="45">
    <w:name w:val="List Paragraph"/>
    <w:basedOn w:val="1"/>
    <w:qFormat/>
    <w:uiPriority w:val="99"/>
    <w:pPr>
      <w:ind w:firstLine="420" w:firstLineChars="200"/>
    </w:pPr>
  </w:style>
  <w:style w:type="paragraph" w:customStyle="1" w:styleId="46">
    <w:name w:val="p0"/>
    <w:basedOn w:val="1"/>
    <w:qFormat/>
    <w:uiPriority w:val="0"/>
    <w:pPr>
      <w:widowControl/>
    </w:pPr>
    <w:rPr>
      <w:kern w:val="0"/>
    </w:rPr>
  </w:style>
  <w:style w:type="paragraph" w:customStyle="1" w:styleId="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Times New Roman" w:cs="Arial Unicode MS"/>
      <w:b/>
      <w:bCs/>
      <w:color w:val="000000"/>
      <w:kern w:val="0"/>
      <w:sz w:val="28"/>
      <w:szCs w:val="28"/>
    </w:rPr>
  </w:style>
  <w:style w:type="paragraph" w:customStyle="1" w:styleId="4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Times New Roman" w:cs="Arial Unicode MS"/>
      <w:b/>
      <w:bCs/>
      <w:kern w:val="0"/>
      <w:sz w:val="28"/>
      <w:szCs w:val="28"/>
    </w:rPr>
  </w:style>
  <w:style w:type="paragraph" w:customStyle="1" w:styleId="4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paragraph" w:customStyle="1" w:styleId="5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Times New Roman"/>
      <w:b/>
      <w:bCs/>
      <w:kern w:val="0"/>
      <w:sz w:val="28"/>
      <w:szCs w:val="28"/>
    </w:rPr>
  </w:style>
  <w:style w:type="paragraph" w:customStyle="1" w:styleId="52">
    <w:name w:val="1"/>
    <w:basedOn w:val="6"/>
    <w:qFormat/>
    <w:uiPriority w:val="0"/>
    <w:rPr>
      <w:rFonts w:ascii="Tahoma" w:hAnsi="Tahoma" w:cs="Tahoma"/>
      <w:sz w:val="24"/>
      <w:szCs w:val="24"/>
    </w:rPr>
  </w:style>
  <w:style w:type="paragraph" w:customStyle="1" w:styleId="5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Times New Roman" w:cs="Arial Unicode MS"/>
      <w:b/>
      <w:bCs/>
      <w:kern w:val="0"/>
      <w:sz w:val="28"/>
      <w:szCs w:val="28"/>
    </w:rPr>
  </w:style>
  <w:style w:type="paragraph" w:customStyle="1" w:styleId="54">
    <w:name w:val="中文正文"/>
    <w:basedOn w:val="1"/>
    <w:qFormat/>
    <w:uiPriority w:val="0"/>
    <w:pPr>
      <w:adjustRightInd w:val="0"/>
      <w:snapToGrid w:val="0"/>
      <w:spacing w:before="120" w:line="360" w:lineRule="auto"/>
      <w:ind w:left="1134"/>
      <w:jc w:val="left"/>
    </w:pPr>
    <w:rPr>
      <w:sz w:val="24"/>
      <w:szCs w:val="24"/>
    </w:rPr>
  </w:style>
  <w:style w:type="paragraph" w:customStyle="1" w:styleId="55">
    <w:name w:val="默认段落字体 Para Char Char Char Char Char Char Char"/>
    <w:basedOn w:val="6"/>
    <w:qFormat/>
    <w:uiPriority w:val="0"/>
    <w:pPr>
      <w:adjustRightInd w:val="0"/>
      <w:spacing w:line="436" w:lineRule="exact"/>
      <w:ind w:left="357"/>
      <w:jc w:val="left"/>
      <w:outlineLvl w:val="3"/>
    </w:pPr>
    <w:rPr>
      <w:rFonts w:ascii="Tahoma" w:hAnsi="Tahoma" w:cs="Tahoma"/>
      <w:b/>
      <w:bCs/>
      <w:sz w:val="24"/>
      <w:szCs w:val="24"/>
    </w:rPr>
  </w:style>
  <w:style w:type="paragraph" w:customStyle="1" w:styleId="56">
    <w:name w:val="列出段落1"/>
    <w:basedOn w:val="1"/>
    <w:qFormat/>
    <w:uiPriority w:val="34"/>
    <w:pPr>
      <w:ind w:firstLine="420" w:firstLineChars="200"/>
    </w:pPr>
  </w:style>
  <w:style w:type="paragraph" w:customStyle="1" w:styleId="57">
    <w:name w:val="font5"/>
    <w:basedOn w:val="1"/>
    <w:qFormat/>
    <w:uiPriority w:val="0"/>
    <w:pPr>
      <w:widowControl/>
      <w:spacing w:before="100" w:beforeAutospacing="1" w:after="100" w:afterAutospacing="1"/>
      <w:jc w:val="left"/>
    </w:pPr>
    <w:rPr>
      <w:rFonts w:eastAsia="Times New Roman"/>
      <w:kern w:val="0"/>
    </w:rPr>
  </w:style>
  <w:style w:type="paragraph" w:customStyle="1" w:styleId="58">
    <w:name w:val="xl31"/>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Times New Roman" w:cs="Arial Unicode MS"/>
      <w:b/>
      <w:bCs/>
      <w:kern w:val="0"/>
      <w:sz w:val="44"/>
      <w:szCs w:val="44"/>
    </w:rPr>
  </w:style>
  <w:style w:type="paragraph" w:customStyle="1" w:styleId="5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Times New Roman"/>
      <w:kern w:val="0"/>
      <w:sz w:val="28"/>
      <w:szCs w:val="28"/>
    </w:rPr>
  </w:style>
  <w:style w:type="paragraph" w:customStyle="1" w:styleId="60">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Times New Roman" w:cs="Arial Unicode MS"/>
      <w:kern w:val="0"/>
      <w:sz w:val="28"/>
      <w:szCs w:val="28"/>
    </w:rPr>
  </w:style>
  <w:style w:type="paragraph" w:customStyle="1" w:styleId="61">
    <w:name w:val="xl3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Times New Roman" w:cs="Arial Unicode MS"/>
      <w:b/>
      <w:bCs/>
      <w:kern w:val="0"/>
      <w:sz w:val="44"/>
      <w:szCs w:val="44"/>
    </w:rPr>
  </w:style>
  <w:style w:type="paragraph" w:customStyle="1" w:styleId="62">
    <w:name w:val="Char"/>
    <w:basedOn w:val="6"/>
    <w:qFormat/>
    <w:uiPriority w:val="0"/>
    <w:rPr>
      <w:rFonts w:ascii="Tahoma" w:hAnsi="Tahoma" w:cs="Tahoma"/>
      <w:sz w:val="24"/>
      <w:szCs w:val="24"/>
    </w:rPr>
  </w:style>
  <w:style w:type="character" w:customStyle="1" w:styleId="63">
    <w:name w:val="font11"/>
    <w:basedOn w:val="26"/>
    <w:qFormat/>
    <w:uiPriority w:val="0"/>
    <w:rPr>
      <w:rFonts w:hint="eastAsia" w:ascii="宋体" w:hAnsi="宋体" w:eastAsia="宋体" w:cs="宋体"/>
      <w:color w:val="000000"/>
      <w:sz w:val="18"/>
      <w:szCs w:val="18"/>
      <w:u w:val="none"/>
    </w:rPr>
  </w:style>
  <w:style w:type="character" w:customStyle="1" w:styleId="64">
    <w:name w:val="font01"/>
    <w:basedOn w:val="26"/>
    <w:qFormat/>
    <w:uiPriority w:val="0"/>
    <w:rPr>
      <w:rFonts w:hint="default" w:ascii="Times New Roman" w:hAnsi="Times New Roman" w:cs="Times New Roman"/>
      <w:color w:val="000000"/>
      <w:sz w:val="18"/>
      <w:szCs w:val="18"/>
      <w:u w:val="none"/>
    </w:rPr>
  </w:style>
  <w:style w:type="paragraph" w:customStyle="1" w:styleId="65">
    <w:name w:val="标题 11"/>
    <w:basedOn w:val="49"/>
    <w:next w:val="49"/>
    <w:qFormat/>
    <w:uiPriority w:val="0"/>
    <w:pPr>
      <w:keepNext/>
      <w:keepLines/>
      <w:widowControl/>
      <w:numPr>
        <w:ilvl w:val="0"/>
        <w:numId w:val="2"/>
      </w:numPr>
      <w:spacing w:before="340" w:after="330"/>
      <w:ind w:left="0" w:firstLine="0"/>
      <w:jc w:val="left"/>
      <w:outlineLvl w:val="0"/>
    </w:pPr>
    <w:rPr>
      <w:rFonts w:ascii="华文细黑"/>
      <w:b/>
      <w:bCs/>
      <w:snapToGrid w:val="0"/>
      <w:kern w:val="0"/>
      <w:sz w:val="28"/>
      <w:szCs w:val="44"/>
      <w:lang w:val="zh-CN"/>
    </w:rPr>
  </w:style>
  <w:style w:type="paragraph" w:customStyle="1" w:styleId="66">
    <w:name w:val="标题 21"/>
    <w:basedOn w:val="49"/>
    <w:qFormat/>
    <w:uiPriority w:val="0"/>
    <w:pPr>
      <w:numPr>
        <w:ilvl w:val="1"/>
        <w:numId w:val="2"/>
      </w:numPr>
      <w:spacing w:before="260" w:after="260"/>
      <w:ind w:left="0" w:firstLine="0"/>
      <w:jc w:val="center"/>
      <w:outlineLvl w:val="1"/>
    </w:pPr>
    <w:rPr>
      <w:rFonts w:ascii="华文细黑" w:hAnsi="Arial"/>
      <w:b/>
      <w:bCs/>
      <w:kern w:val="0"/>
      <w:sz w:val="44"/>
      <w:szCs w:val="32"/>
      <w:lang w:val="zh-CN"/>
    </w:rPr>
  </w:style>
  <w:style w:type="paragraph" w:customStyle="1" w:styleId="67">
    <w:name w:val="标题 311"/>
    <w:basedOn w:val="49"/>
    <w:next w:val="49"/>
    <w:link w:val="68"/>
    <w:qFormat/>
    <w:uiPriority w:val="0"/>
    <w:pPr>
      <w:keepNext/>
      <w:keepLines/>
      <w:widowControl/>
      <w:numPr>
        <w:ilvl w:val="2"/>
        <w:numId w:val="2"/>
      </w:numPr>
      <w:spacing w:before="260" w:after="260" w:line="416" w:lineRule="auto"/>
      <w:ind w:left="0" w:firstLine="0"/>
      <w:jc w:val="left"/>
      <w:outlineLvl w:val="2"/>
    </w:pPr>
    <w:rPr>
      <w:rFonts w:eastAsia="华文细黑"/>
      <w:bCs/>
      <w:kern w:val="0"/>
      <w:sz w:val="36"/>
      <w:szCs w:val="32"/>
      <w:lang w:val="zh-CN"/>
    </w:rPr>
  </w:style>
  <w:style w:type="character" w:customStyle="1" w:styleId="68">
    <w:name w:val="标题 3 Char"/>
    <w:link w:val="67"/>
    <w:qFormat/>
    <w:uiPriority w:val="0"/>
    <w:rPr>
      <w:rFonts w:eastAsia="华文细黑"/>
      <w:bCs/>
      <w:sz w:val="36"/>
      <w:szCs w:val="32"/>
      <w:lang w:val="zh-CN"/>
    </w:rPr>
  </w:style>
  <w:style w:type="paragraph" w:customStyle="1" w:styleId="69">
    <w:name w:val="标题 41"/>
    <w:basedOn w:val="49"/>
    <w:next w:val="49"/>
    <w:qFormat/>
    <w:uiPriority w:val="0"/>
    <w:pPr>
      <w:keepNext/>
      <w:keepLines/>
      <w:widowControl/>
      <w:spacing w:before="280" w:after="290" w:line="376" w:lineRule="auto"/>
      <w:jc w:val="left"/>
      <w:outlineLvl w:val="3"/>
    </w:pPr>
    <w:rPr>
      <w:rFonts w:ascii="Arial" w:hAnsi="Arial" w:eastAsia="黑体"/>
      <w:b/>
      <w:bCs/>
      <w:kern w:val="0"/>
      <w:sz w:val="28"/>
      <w:szCs w:val="28"/>
      <w:lang w:val="zh-CN"/>
    </w:rPr>
  </w:style>
  <w:style w:type="paragraph" w:customStyle="1" w:styleId="70">
    <w:name w:val="标题 51"/>
    <w:basedOn w:val="49"/>
    <w:next w:val="49"/>
    <w:qFormat/>
    <w:uiPriority w:val="0"/>
    <w:pPr>
      <w:keepNext/>
      <w:keepLines/>
      <w:widowControl/>
      <w:spacing w:before="280" w:after="290" w:line="376" w:lineRule="auto"/>
      <w:jc w:val="left"/>
      <w:outlineLvl w:val="4"/>
    </w:pPr>
    <w:rPr>
      <w:b/>
      <w:bCs/>
      <w:kern w:val="0"/>
      <w:sz w:val="28"/>
      <w:szCs w:val="28"/>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theme" Target="theme/theme1.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A17420-4FB6-4CBB-9415-05C0FBB8A82A}">
  <ds:schemaRefs/>
</ds:datastoreItem>
</file>

<file path=docProps/app.xml><?xml version="1.0" encoding="utf-8"?>
<Properties xmlns="http://schemas.openxmlformats.org/officeDocument/2006/extended-properties" xmlns:vt="http://schemas.openxmlformats.org/officeDocument/2006/docPropsVTypes">
  <Template>Normal</Template>
  <Company>CSCEC</Company>
  <Pages>30</Pages>
  <Words>2870</Words>
  <Characters>16365</Characters>
  <Lines>136</Lines>
  <Paragraphs>38</Paragraphs>
  <TotalTime>28</TotalTime>
  <ScaleCrop>false</ScaleCrop>
  <LinksUpToDate>false</LinksUpToDate>
  <CharactersWithSpaces>19197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2019-11-15T03:30:00Z</dcterms:created>
  <dc:creator>王秋加</dc:creator>
  <cp:lastModifiedBy>Administrator</cp:lastModifiedBy>
  <cp:lastPrinted>2020-07-25T10:02:00Z</cp:lastPrinted>
  <dcterms:modified xsi:type="dcterms:W3CDTF">2020-09-30T07:11:55Z</dcterms:modified>
  <dc:title>冷却塔</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