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435" w:lineRule="atLeast"/>
        <w:ind w:left="0" w:right="0" w:firstLine="480"/>
        <w:jc w:val="center"/>
        <w:rPr>
          <w:rStyle w:val="6"/>
          <w:rFonts w:hint="eastAsia" w:ascii="仿宋" w:hAnsi="仿宋" w:eastAsia="仿宋" w:cs="仿宋"/>
          <w:i w:val="0"/>
          <w:caps w:val="0"/>
          <w:color w:val="000000"/>
          <w:spacing w:val="0"/>
          <w:sz w:val="32"/>
          <w:szCs w:val="32"/>
          <w:lang w:eastAsia="zh-CN"/>
        </w:rPr>
      </w:pPr>
      <w:r>
        <w:rPr>
          <w:rStyle w:val="6"/>
          <w:rFonts w:hint="eastAsia" w:ascii="仿宋" w:hAnsi="仿宋" w:eastAsia="仿宋" w:cs="仿宋"/>
          <w:i w:val="0"/>
          <w:caps w:val="0"/>
          <w:color w:val="000000"/>
          <w:spacing w:val="0"/>
          <w:sz w:val="32"/>
          <w:szCs w:val="32"/>
          <w:lang w:eastAsia="zh-CN"/>
        </w:rPr>
        <w:t>项目招标概况</w:t>
      </w:r>
    </w:p>
    <w:p>
      <w:pPr>
        <w:pStyle w:val="2"/>
        <w:keepNext w:val="0"/>
        <w:keepLines w:val="0"/>
        <w:widowControl/>
        <w:suppressLineNumbers w:val="0"/>
        <w:spacing w:before="75" w:beforeAutospacing="0" w:after="75" w:afterAutospacing="0" w:line="435" w:lineRule="atLeast"/>
        <w:ind w:left="0" w:right="0" w:firstLine="480"/>
        <w:rPr>
          <w:rFonts w:hint="default" w:ascii="sans-serif" w:hAnsi="sans-serif" w:eastAsia="sans-serif" w:cs="sans-serif"/>
          <w:b w:val="0"/>
          <w:i w:val="0"/>
          <w:caps w:val="0"/>
          <w:color w:val="000000"/>
          <w:spacing w:val="0"/>
          <w:sz w:val="24"/>
          <w:szCs w:val="24"/>
        </w:rPr>
      </w:pPr>
      <w:r>
        <w:rPr>
          <w:rStyle w:val="6"/>
          <w:rFonts w:hint="default" w:ascii="仿宋_GB2312" w:hAnsi="sans-serif" w:eastAsia="仿宋_GB2312" w:cs="仿宋_GB2312"/>
          <w:i w:val="0"/>
          <w:caps w:val="0"/>
          <w:color w:val="000000"/>
          <w:spacing w:val="0"/>
          <w:sz w:val="24"/>
          <w:szCs w:val="24"/>
        </w:rPr>
        <w:t>一、工程概况</w:t>
      </w:r>
    </w:p>
    <w:p>
      <w:pPr>
        <w:pStyle w:val="2"/>
        <w:keepNext w:val="0"/>
        <w:keepLines w:val="0"/>
        <w:widowControl/>
        <w:suppressLineNumbers w:val="0"/>
        <w:spacing w:before="75" w:beforeAutospacing="0" w:after="75" w:afterAutospacing="0" w:line="435" w:lineRule="atLeast"/>
        <w:ind w:left="0" w:right="0" w:firstLine="855"/>
        <w:rPr>
          <w:rFonts w:hint="default" w:ascii="仿宋_GB2312" w:hAnsi="sans-serif" w:eastAsia="仿宋_GB2312" w:cs="仿宋_GB2312"/>
          <w:b w:val="0"/>
          <w:i w:val="0"/>
          <w:caps w:val="0"/>
          <w:color w:val="000000"/>
          <w:spacing w:val="0"/>
          <w:sz w:val="24"/>
          <w:szCs w:val="24"/>
          <w:lang w:val="en-US" w:eastAsia="zh-CN"/>
        </w:rPr>
      </w:pPr>
      <w:r>
        <w:rPr>
          <w:rFonts w:hint="default" w:ascii="仿宋_GB2312" w:hAnsi="sans-serif" w:eastAsia="仿宋_GB2312" w:cs="仿宋_GB2312"/>
          <w:b w:val="0"/>
          <w:i w:val="0"/>
          <w:caps w:val="0"/>
          <w:color w:val="000000"/>
          <w:spacing w:val="0"/>
          <w:sz w:val="24"/>
          <w:szCs w:val="24"/>
        </w:rPr>
        <w:t>1</w:t>
      </w:r>
      <w:r>
        <w:rPr>
          <w:rFonts w:hint="eastAsia" w:ascii="仿宋_GB2312" w:hAnsi="sans-serif" w:eastAsia="仿宋_GB2312" w:cs="仿宋_GB2312"/>
          <w:b w:val="0"/>
          <w:i w:val="0"/>
          <w:caps w:val="0"/>
          <w:color w:val="000000"/>
          <w:spacing w:val="0"/>
          <w:sz w:val="24"/>
          <w:szCs w:val="24"/>
          <w:lang w:eastAsia="zh-CN"/>
        </w:rPr>
        <w:t>.建设单位：</w:t>
      </w:r>
      <w:r>
        <w:rPr>
          <w:rFonts w:hint="eastAsia" w:ascii="仿宋_GB2312" w:hAnsi="sans-serif" w:eastAsia="仿宋_GB2312" w:cs="仿宋_GB2312"/>
          <w:b w:val="0"/>
          <w:i w:val="0"/>
          <w:caps w:val="0"/>
          <w:color w:val="000000"/>
          <w:spacing w:val="0"/>
          <w:sz w:val="24"/>
          <w:szCs w:val="24"/>
          <w:lang w:val="en-US" w:eastAsia="zh-CN"/>
        </w:rPr>
        <w:t>中建（天津）轨道交通投资发展有限公司</w:t>
      </w:r>
    </w:p>
    <w:p>
      <w:pPr>
        <w:pStyle w:val="2"/>
        <w:keepNext w:val="0"/>
        <w:keepLines w:val="0"/>
        <w:widowControl/>
        <w:suppressLineNumbers w:val="0"/>
        <w:spacing w:before="75" w:beforeAutospacing="0" w:after="75" w:afterAutospacing="0" w:line="435" w:lineRule="atLeast"/>
        <w:ind w:left="0" w:right="0" w:firstLine="855"/>
        <w:rPr>
          <w:rFonts w:hint="default" w:ascii="仿宋_GB2312" w:hAnsi="sans-serif" w:eastAsia="仿宋_GB2312" w:cs="仿宋_GB2312"/>
          <w:b w:val="0"/>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sans-serif" w:eastAsia="仿宋_GB2312" w:cs="仿宋_GB2312"/>
          <w:b w:val="0"/>
          <w:i w:val="0"/>
          <w:caps w:val="0"/>
          <w:color w:val="000000" w:themeColor="text1"/>
          <w:spacing w:val="0"/>
          <w:sz w:val="24"/>
          <w:szCs w:val="24"/>
          <w:highlight w:val="none"/>
          <w:lang w:val="en-US" w:eastAsia="zh-CN"/>
          <w14:textFill>
            <w14:solidFill>
              <w14:schemeClr w14:val="tx1"/>
            </w14:solidFill>
          </w14:textFill>
        </w:rPr>
        <w:t>2.监理单位：天津市路驰建设工程监理有限公司与北京铁城建设监理有限公司联合体</w:t>
      </w:r>
    </w:p>
    <w:p>
      <w:pPr>
        <w:pStyle w:val="2"/>
        <w:keepNext w:val="0"/>
        <w:keepLines w:val="0"/>
        <w:widowControl/>
        <w:suppressLineNumbers w:val="0"/>
        <w:spacing w:before="75" w:beforeAutospacing="0" w:after="75" w:afterAutospacing="0" w:line="435" w:lineRule="atLeast"/>
        <w:ind w:left="0" w:right="0" w:firstLine="855"/>
        <w:rPr>
          <w:rFonts w:hint="eastAsia" w:ascii="仿宋_GB2312" w:hAnsi="sans-serif" w:eastAsia="仿宋_GB2312" w:cs="仿宋_GB2312"/>
          <w:b w:val="0"/>
          <w:i w:val="0"/>
          <w:caps w:val="0"/>
          <w:color w:val="000000"/>
          <w:spacing w:val="0"/>
          <w:sz w:val="24"/>
          <w:szCs w:val="24"/>
          <w:lang w:val="en-US" w:eastAsia="zh-CN"/>
        </w:rPr>
      </w:pPr>
      <w:r>
        <w:rPr>
          <w:rFonts w:hint="eastAsia" w:ascii="仿宋_GB2312" w:hAnsi="sans-serif" w:eastAsia="仿宋_GB2312" w:cs="仿宋_GB2312"/>
          <w:b w:val="0"/>
          <w:i w:val="0"/>
          <w:caps w:val="0"/>
          <w:color w:val="000000"/>
          <w:spacing w:val="0"/>
          <w:sz w:val="24"/>
          <w:szCs w:val="24"/>
          <w:lang w:val="en-US" w:eastAsia="zh-CN"/>
        </w:rPr>
        <w:t>3.设计单位：北京城建设计发展集团股份有限公司</w:t>
      </w:r>
    </w:p>
    <w:p>
      <w:pPr>
        <w:pStyle w:val="2"/>
        <w:keepNext w:val="0"/>
        <w:keepLines w:val="0"/>
        <w:widowControl/>
        <w:suppressLineNumbers w:val="0"/>
        <w:spacing w:before="75" w:beforeAutospacing="0" w:after="75" w:afterAutospacing="0" w:line="435" w:lineRule="atLeast"/>
        <w:ind w:left="0" w:right="0" w:firstLine="855"/>
        <w:rPr>
          <w:rFonts w:hint="default" w:ascii="仿宋_GB2312" w:hAnsi="sans-serif" w:eastAsia="仿宋_GB2312" w:cs="仿宋_GB2312"/>
          <w:b w:val="0"/>
          <w:i w:val="0"/>
          <w:caps w:val="0"/>
          <w:color w:val="000000"/>
          <w:spacing w:val="0"/>
          <w:sz w:val="24"/>
          <w:szCs w:val="24"/>
          <w:lang w:val="en-US" w:eastAsia="zh-CN"/>
        </w:rPr>
      </w:pPr>
      <w:r>
        <w:rPr>
          <w:rFonts w:hint="eastAsia" w:ascii="仿宋_GB2312" w:hAnsi="sans-serif" w:eastAsia="仿宋_GB2312" w:cs="仿宋_GB2312"/>
          <w:b w:val="0"/>
          <w:i w:val="0"/>
          <w:caps w:val="0"/>
          <w:color w:val="000000"/>
          <w:spacing w:val="0"/>
          <w:sz w:val="24"/>
          <w:szCs w:val="24"/>
          <w:lang w:val="en-US" w:eastAsia="zh-CN"/>
        </w:rPr>
        <w:t>4.勘察单位：中国铁路设计集团有限公司</w:t>
      </w:r>
    </w:p>
    <w:p>
      <w:pPr>
        <w:pStyle w:val="2"/>
        <w:keepNext w:val="0"/>
        <w:keepLines w:val="0"/>
        <w:widowControl/>
        <w:suppressLineNumbers w:val="0"/>
        <w:spacing w:before="75" w:beforeAutospacing="0" w:after="75" w:afterAutospacing="0" w:line="435" w:lineRule="atLeast"/>
        <w:ind w:left="0" w:right="0" w:firstLine="855"/>
        <w:rPr>
          <w:rFonts w:hint="eastAsia" w:ascii="仿宋_GB2312" w:hAnsi="sans-serif" w:eastAsia="仿宋_GB2312" w:cs="仿宋_GB2312"/>
          <w:b w:val="0"/>
          <w:i w:val="0"/>
          <w:caps w:val="0"/>
          <w:color w:val="000000"/>
          <w:spacing w:val="0"/>
          <w:sz w:val="24"/>
          <w:szCs w:val="24"/>
          <w:lang w:val="en-US" w:eastAsia="zh-CN"/>
        </w:rPr>
      </w:pPr>
      <w:r>
        <w:rPr>
          <w:rFonts w:hint="eastAsia" w:ascii="仿宋_GB2312" w:hAnsi="sans-serif" w:eastAsia="仿宋_GB2312" w:cs="仿宋_GB2312"/>
          <w:b w:val="0"/>
          <w:i w:val="0"/>
          <w:caps w:val="0"/>
          <w:color w:val="000000"/>
          <w:spacing w:val="0"/>
          <w:sz w:val="24"/>
          <w:szCs w:val="24"/>
          <w:lang w:val="en-US" w:eastAsia="zh-CN"/>
        </w:rPr>
        <w:t>5.工程名称：天津地铁7号线一期工程PPP项目土建03标段工程</w:t>
      </w:r>
    </w:p>
    <w:p>
      <w:pPr>
        <w:pStyle w:val="2"/>
        <w:keepNext w:val="0"/>
        <w:keepLines w:val="0"/>
        <w:widowControl/>
        <w:suppressLineNumbers w:val="0"/>
        <w:spacing w:before="75" w:beforeAutospacing="0" w:after="75" w:afterAutospacing="0" w:line="435" w:lineRule="atLeast"/>
        <w:ind w:left="0" w:right="0" w:firstLine="855"/>
        <w:rPr>
          <w:rFonts w:hint="default" w:ascii="仿宋_GB2312" w:hAnsi="sans-serif" w:eastAsia="仿宋_GB2312" w:cs="仿宋_GB2312"/>
          <w:b w:val="0"/>
          <w:i w:val="0"/>
          <w:caps w:val="0"/>
          <w:color w:val="000000"/>
          <w:spacing w:val="0"/>
          <w:sz w:val="24"/>
          <w:szCs w:val="24"/>
          <w:highlight w:val="none"/>
          <w:lang w:val="en-US" w:eastAsia="zh-CN"/>
        </w:rPr>
      </w:pPr>
      <w:r>
        <w:rPr>
          <w:rFonts w:hint="eastAsia" w:ascii="仿宋_GB2312" w:hAnsi="sans-serif" w:eastAsia="仿宋_GB2312" w:cs="仿宋_GB2312"/>
          <w:b w:val="0"/>
          <w:i w:val="0"/>
          <w:caps w:val="0"/>
          <w:color w:val="000000"/>
          <w:spacing w:val="0"/>
          <w:sz w:val="24"/>
          <w:szCs w:val="24"/>
          <w:highlight w:val="none"/>
          <w:lang w:val="en-US" w:eastAsia="zh-CN"/>
        </w:rPr>
        <w:t>6.工程地点：天津市西青区大寺镇赛达路与金泽路交叉口</w:t>
      </w:r>
    </w:p>
    <w:p>
      <w:pPr>
        <w:pStyle w:val="2"/>
        <w:keepNext w:val="0"/>
        <w:keepLines w:val="0"/>
        <w:widowControl/>
        <w:suppressLineNumbers w:val="0"/>
        <w:spacing w:before="75" w:beforeAutospacing="0" w:after="75" w:afterAutospacing="0" w:line="435" w:lineRule="atLeast"/>
        <w:ind w:left="0" w:right="0" w:firstLine="480"/>
        <w:rPr>
          <w:rFonts w:hint="default" w:ascii="sans-serif" w:hAnsi="sans-serif" w:eastAsia="sans-serif" w:cs="sans-serif"/>
          <w:b w:val="0"/>
          <w:i w:val="0"/>
          <w:caps w:val="0"/>
          <w:color w:val="000000"/>
          <w:spacing w:val="0"/>
          <w:sz w:val="24"/>
          <w:szCs w:val="24"/>
        </w:rPr>
      </w:pPr>
      <w:r>
        <w:rPr>
          <w:rStyle w:val="6"/>
          <w:rFonts w:hint="default" w:ascii="仿宋_GB2312" w:hAnsi="sans-serif" w:eastAsia="仿宋_GB2312" w:cs="仿宋_GB2312"/>
          <w:i w:val="0"/>
          <w:caps w:val="0"/>
          <w:color w:val="000000"/>
          <w:spacing w:val="0"/>
          <w:sz w:val="24"/>
          <w:szCs w:val="24"/>
        </w:rPr>
        <w:t>二、招标主体</w:t>
      </w:r>
    </w:p>
    <w:p>
      <w:pPr>
        <w:pStyle w:val="2"/>
        <w:keepNext w:val="0"/>
        <w:keepLines w:val="0"/>
        <w:widowControl/>
        <w:suppressLineNumbers w:val="0"/>
        <w:spacing w:before="75" w:beforeAutospacing="0" w:after="75" w:afterAutospacing="0" w:line="435" w:lineRule="atLeast"/>
        <w:ind w:left="0" w:right="0" w:firstLine="855"/>
        <w:rPr>
          <w:rFonts w:hint="eastAsia" w:ascii="仿宋_GB2312" w:hAnsi="sans-serif" w:eastAsia="仿宋_GB2312" w:cs="仿宋_GB2312"/>
          <w:b w:val="0"/>
          <w:i w:val="0"/>
          <w:caps w:val="0"/>
          <w:color w:val="000000"/>
          <w:spacing w:val="0"/>
          <w:sz w:val="24"/>
          <w:szCs w:val="24"/>
          <w:lang w:val="en-US" w:eastAsia="zh-CN"/>
        </w:rPr>
      </w:pPr>
      <w:r>
        <w:rPr>
          <w:rFonts w:hint="eastAsia" w:ascii="仿宋_GB2312" w:hAnsi="sans-serif" w:eastAsia="仿宋_GB2312" w:cs="仿宋_GB2312"/>
          <w:b w:val="0"/>
          <w:i w:val="0"/>
          <w:caps w:val="0"/>
          <w:color w:val="000000"/>
          <w:spacing w:val="0"/>
          <w:sz w:val="24"/>
          <w:szCs w:val="24"/>
          <w:lang w:val="en-US" w:eastAsia="zh-CN"/>
        </w:rPr>
        <w:t>中国建筑第二工程局有限公司</w:t>
      </w:r>
    </w:p>
    <w:p>
      <w:pPr>
        <w:pStyle w:val="2"/>
        <w:keepNext w:val="0"/>
        <w:keepLines w:val="0"/>
        <w:widowControl/>
        <w:numPr>
          <w:ilvl w:val="0"/>
          <w:numId w:val="1"/>
        </w:numPr>
        <w:suppressLineNumbers w:val="0"/>
        <w:spacing w:before="75" w:beforeAutospacing="0" w:after="75" w:afterAutospacing="0" w:line="435" w:lineRule="atLeast"/>
        <w:ind w:left="0" w:right="0" w:firstLine="480"/>
        <w:rPr>
          <w:rStyle w:val="6"/>
          <w:rFonts w:hint="default" w:ascii="仿宋_GB2312" w:hAnsi="sans-serif" w:eastAsia="仿宋_GB2312" w:cs="仿宋_GB2312"/>
          <w:i w:val="0"/>
          <w:caps w:val="0"/>
          <w:color w:val="000000"/>
          <w:spacing w:val="0"/>
          <w:sz w:val="24"/>
          <w:szCs w:val="24"/>
        </w:rPr>
      </w:pPr>
      <w:r>
        <w:rPr>
          <w:rStyle w:val="6"/>
          <w:rFonts w:hint="default" w:ascii="仿宋_GB2312" w:hAnsi="sans-serif" w:eastAsia="仿宋_GB2312" w:cs="仿宋_GB2312"/>
          <w:i w:val="0"/>
          <w:caps w:val="0"/>
          <w:color w:val="000000"/>
          <w:spacing w:val="0"/>
          <w:sz w:val="24"/>
          <w:szCs w:val="24"/>
        </w:rPr>
        <w:t>招标</w:t>
      </w:r>
      <w:r>
        <w:rPr>
          <w:rStyle w:val="6"/>
          <w:rFonts w:hint="eastAsia" w:ascii="仿宋_GB2312" w:hAnsi="sans-serif" w:eastAsia="仿宋_GB2312" w:cs="仿宋_GB2312"/>
          <w:i w:val="0"/>
          <w:caps w:val="0"/>
          <w:color w:val="000000"/>
          <w:spacing w:val="0"/>
          <w:sz w:val="24"/>
          <w:szCs w:val="24"/>
          <w:lang w:eastAsia="zh-CN"/>
        </w:rPr>
        <w:t>范围及数量</w:t>
      </w:r>
    </w:p>
    <w:p>
      <w:pPr>
        <w:pStyle w:val="2"/>
        <w:keepNext w:val="0"/>
        <w:keepLines w:val="0"/>
        <w:widowControl/>
        <w:numPr>
          <w:ilvl w:val="0"/>
          <w:numId w:val="0"/>
        </w:numPr>
        <w:suppressLineNumbers w:val="0"/>
        <w:spacing w:before="75" w:beforeAutospacing="0" w:after="75" w:afterAutospacing="0" w:line="435" w:lineRule="atLeast"/>
        <w:ind w:left="480" w:leftChars="0" w:right="0" w:rightChars="0"/>
        <w:rPr>
          <w:rStyle w:val="6"/>
          <w:rFonts w:hint="default" w:ascii="仿宋_GB2312" w:hAnsi="sans-serif" w:eastAsia="仿宋_GB2312" w:cs="仿宋_GB2312"/>
          <w:b w:val="0"/>
          <w:bCs/>
          <w:i w:val="0"/>
          <w:caps w:val="0"/>
          <w:color w:val="000000"/>
          <w:spacing w:val="0"/>
          <w:sz w:val="24"/>
          <w:szCs w:val="24"/>
          <w:lang w:val="en-US" w:eastAsia="zh-CN"/>
        </w:rPr>
      </w:pPr>
      <w:r>
        <w:rPr>
          <w:rStyle w:val="6"/>
          <w:rFonts w:hint="eastAsia" w:ascii="仿宋_GB2312" w:hAnsi="sans-serif" w:eastAsia="仿宋_GB2312" w:cs="仿宋_GB2312"/>
          <w:i w:val="0"/>
          <w:caps w:val="0"/>
          <w:color w:val="000000"/>
          <w:spacing w:val="0"/>
          <w:sz w:val="24"/>
          <w:szCs w:val="24"/>
          <w:lang w:val="en-US" w:eastAsia="zh-CN"/>
        </w:rPr>
        <w:t xml:space="preserve">    </w:t>
      </w:r>
      <w:r>
        <w:rPr>
          <w:rStyle w:val="6"/>
          <w:rFonts w:hint="eastAsia" w:ascii="仿宋_GB2312" w:hAnsi="sans-serif" w:eastAsia="仿宋_GB2312" w:cs="仿宋_GB2312"/>
          <w:b w:val="0"/>
          <w:bCs/>
          <w:i w:val="0"/>
          <w:caps w:val="0"/>
          <w:color w:val="000000"/>
          <w:spacing w:val="0"/>
          <w:sz w:val="24"/>
          <w:szCs w:val="24"/>
          <w:lang w:val="en-US" w:eastAsia="zh-CN"/>
        </w:rPr>
        <w:t xml:space="preserve">本次招标范围为覆盖工程所需砂石料 </w:t>
      </w:r>
    </w:p>
    <w:p>
      <w:pPr>
        <w:pStyle w:val="2"/>
        <w:keepNext w:val="0"/>
        <w:keepLines w:val="0"/>
        <w:widowControl/>
        <w:numPr>
          <w:ilvl w:val="0"/>
          <w:numId w:val="1"/>
        </w:numPr>
        <w:suppressLineNumbers w:val="0"/>
        <w:spacing w:before="75" w:beforeAutospacing="0" w:after="75" w:afterAutospacing="0" w:line="435" w:lineRule="atLeast"/>
        <w:ind w:left="0" w:leftChars="0" w:right="0" w:firstLine="480" w:firstLineChars="0"/>
        <w:rPr>
          <w:rStyle w:val="6"/>
          <w:rFonts w:hint="eastAsia" w:ascii="仿宋_GB2312" w:hAnsi="sans-serif" w:eastAsia="仿宋_GB2312" w:cs="仿宋_GB2312"/>
          <w:i w:val="0"/>
          <w:caps w:val="0"/>
          <w:color w:val="000000"/>
          <w:spacing w:val="0"/>
          <w:sz w:val="24"/>
          <w:szCs w:val="24"/>
          <w:lang w:eastAsia="zh-CN"/>
        </w:rPr>
      </w:pPr>
      <w:r>
        <w:rPr>
          <w:rStyle w:val="6"/>
          <w:rFonts w:hint="eastAsia" w:ascii="仿宋_GB2312" w:hAnsi="sans-serif" w:eastAsia="仿宋_GB2312" w:cs="仿宋_GB2312"/>
          <w:i w:val="0"/>
          <w:caps w:val="0"/>
          <w:color w:val="000000"/>
          <w:spacing w:val="0"/>
          <w:sz w:val="24"/>
          <w:szCs w:val="24"/>
          <w:lang w:eastAsia="zh-CN"/>
        </w:rPr>
        <w:t>质量要求</w:t>
      </w:r>
    </w:p>
    <w:p>
      <w:pPr>
        <w:keepNext w:val="0"/>
        <w:keepLines w:val="0"/>
        <w:pageBreakBefore w:val="0"/>
        <w:widowControl w:val="0"/>
        <w:kinsoku/>
        <w:wordWrap/>
        <w:overflowPunct/>
        <w:topLinePunct w:val="0"/>
        <w:autoSpaceDE/>
        <w:autoSpaceDN/>
        <w:bidi w:val="0"/>
        <w:adjustRightInd/>
        <w:snapToGrid/>
        <w:spacing w:line="480" w:lineRule="auto"/>
        <w:ind w:left="0" w:right="0" w:firstLine="0" w:firstLineChars="0"/>
        <w:jc w:val="both"/>
        <w:textAlignment w:val="auto"/>
        <w:outlineLvl w:val="9"/>
        <w:rPr>
          <w:rStyle w:val="6"/>
          <w:rFonts w:hint="eastAsia" w:ascii="仿宋_GB2312" w:hAnsi="sans-serif" w:eastAsia="仿宋_GB2312" w:cs="仿宋_GB2312"/>
          <w:b w:val="0"/>
          <w:bCs w:val="0"/>
          <w:i w:val="0"/>
          <w:caps w:val="0"/>
          <w:color w:val="000000"/>
          <w:spacing w:val="0"/>
          <w:kern w:val="0"/>
          <w:sz w:val="24"/>
          <w:szCs w:val="24"/>
          <w:lang w:val="en-US" w:eastAsia="zh-CN" w:bidi="ar"/>
        </w:rPr>
      </w:pPr>
      <w:r>
        <w:rPr>
          <w:rStyle w:val="6"/>
          <w:rFonts w:hint="eastAsia" w:ascii="仿宋_GB2312" w:hAnsi="sans-serif" w:eastAsia="仿宋_GB2312" w:cs="仿宋_GB2312"/>
          <w:b w:val="0"/>
          <w:bCs w:val="0"/>
          <w:i w:val="0"/>
          <w:caps w:val="0"/>
          <w:color w:val="000000"/>
          <w:spacing w:val="0"/>
          <w:kern w:val="0"/>
          <w:sz w:val="24"/>
          <w:szCs w:val="24"/>
          <w:lang w:val="en-US" w:eastAsia="zh-CN" w:bidi="ar"/>
        </w:rPr>
        <w:t xml:space="preserve">        各类材料符合相关国家质量标准。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1" w:firstLineChars="0"/>
        <w:jc w:val="both"/>
        <w:textAlignment w:val="auto"/>
        <w:outlineLvl w:val="9"/>
        <w:rPr>
          <w:rStyle w:val="6"/>
          <w:rFonts w:hint="eastAsia" w:ascii="仿宋_GB2312" w:hAnsi="sans-serif" w:eastAsia="仿宋_GB2312" w:cs="仿宋_GB2312"/>
          <w:i w:val="0"/>
          <w:caps w:val="0"/>
          <w:color w:val="000000"/>
          <w:spacing w:val="0"/>
          <w:kern w:val="0"/>
          <w:sz w:val="24"/>
          <w:szCs w:val="24"/>
          <w:lang w:val="en-US" w:eastAsia="zh-CN" w:bidi="ar"/>
        </w:rPr>
      </w:pPr>
      <w:r>
        <w:rPr>
          <w:rStyle w:val="6"/>
          <w:rFonts w:hint="eastAsia" w:ascii="仿宋_GB2312" w:hAnsi="sans-serif" w:eastAsia="仿宋_GB2312" w:cs="仿宋_GB2312"/>
          <w:i w:val="0"/>
          <w:caps w:val="0"/>
          <w:color w:val="000000"/>
          <w:spacing w:val="0"/>
          <w:kern w:val="0"/>
          <w:sz w:val="24"/>
          <w:szCs w:val="24"/>
          <w:lang w:val="en-US" w:eastAsia="zh-CN" w:bidi="ar"/>
        </w:rPr>
        <w:t>五、结算方式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1" w:firstLineChars="0"/>
        <w:jc w:val="both"/>
        <w:textAlignment w:val="auto"/>
        <w:outlineLvl w:val="9"/>
        <w:rPr>
          <w:rStyle w:val="6"/>
          <w:rFonts w:hint="eastAsia" w:ascii="仿宋_GB2312" w:hAnsi="sans-serif" w:eastAsia="仿宋_GB2312" w:cs="仿宋_GB2312"/>
          <w:b w:val="0"/>
          <w:bCs w:val="0"/>
          <w:i w:val="0"/>
          <w:caps w:val="0"/>
          <w:color w:val="000000"/>
          <w:spacing w:val="0"/>
          <w:kern w:val="0"/>
          <w:sz w:val="24"/>
          <w:szCs w:val="24"/>
          <w:lang w:val="en-US" w:eastAsia="zh-CN" w:bidi="ar"/>
        </w:rPr>
      </w:pPr>
      <w:r>
        <w:rPr>
          <w:rStyle w:val="6"/>
          <w:rFonts w:hint="eastAsia" w:ascii="仿宋_GB2312" w:hAnsi="sans-serif" w:eastAsia="仿宋_GB2312" w:cs="仿宋_GB2312"/>
          <w:b w:val="0"/>
          <w:bCs w:val="0"/>
          <w:i w:val="0"/>
          <w:caps w:val="0"/>
          <w:color w:val="000000"/>
          <w:spacing w:val="0"/>
          <w:kern w:val="0"/>
          <w:sz w:val="24"/>
          <w:szCs w:val="24"/>
          <w:lang w:val="en-US" w:eastAsia="zh-CN" w:bidi="ar"/>
        </w:rPr>
        <w:t>1.结算方式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Style w:val="6"/>
          <w:rFonts w:hint="eastAsia" w:ascii="仿宋_GB2312" w:hAnsi="sans-serif" w:eastAsia="仿宋_GB2312" w:cs="仿宋_GB2312"/>
          <w:b w:val="0"/>
          <w:bCs w:val="0"/>
          <w:i w:val="0"/>
          <w:caps w:val="0"/>
          <w:color w:val="000000"/>
          <w:spacing w:val="0"/>
          <w:kern w:val="0"/>
          <w:sz w:val="24"/>
          <w:szCs w:val="24"/>
          <w:lang w:val="en-US" w:eastAsia="zh-CN" w:bidi="ar"/>
        </w:rPr>
      </w:pPr>
      <w:r>
        <w:rPr>
          <w:rStyle w:val="6"/>
          <w:rFonts w:hint="eastAsia" w:ascii="仿宋_GB2312" w:hAnsi="sans-serif" w:eastAsia="仿宋_GB2312" w:cs="仿宋_GB2312"/>
          <w:b w:val="0"/>
          <w:bCs w:val="0"/>
          <w:i w:val="0"/>
          <w:caps w:val="0"/>
          <w:color w:val="000000"/>
          <w:spacing w:val="0"/>
          <w:kern w:val="0"/>
          <w:sz w:val="24"/>
          <w:szCs w:val="24"/>
          <w:lang w:val="en-US" w:eastAsia="zh-CN" w:bidi="ar"/>
        </w:rPr>
        <w:t xml:space="preserve">    每月20号按照每次现场供货验收单办理结算单，需双方签字确认后生效。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175"/>
        <w:jc w:val="both"/>
        <w:textAlignment w:val="auto"/>
        <w:outlineLvl w:val="9"/>
        <w:rPr>
          <w:rStyle w:val="6"/>
          <w:rFonts w:hint="eastAsia" w:ascii="仿宋_GB2312" w:hAnsi="sans-serif" w:eastAsia="仿宋_GB2312" w:cs="仿宋_GB2312"/>
          <w:b w:val="0"/>
          <w:bCs w:val="0"/>
          <w:i w:val="0"/>
          <w:caps w:val="0"/>
          <w:color w:val="000000"/>
          <w:spacing w:val="0"/>
          <w:kern w:val="0"/>
          <w:sz w:val="24"/>
          <w:szCs w:val="24"/>
          <w:lang w:val="en-US" w:eastAsia="zh-CN" w:bidi="ar"/>
        </w:rPr>
      </w:pPr>
      <w:r>
        <w:rPr>
          <w:rStyle w:val="6"/>
          <w:rFonts w:hint="eastAsia" w:ascii="仿宋_GB2312" w:hAnsi="sans-serif" w:eastAsia="仿宋_GB2312" w:cs="仿宋_GB2312"/>
          <w:b w:val="0"/>
          <w:bCs w:val="0"/>
          <w:i w:val="0"/>
          <w:caps w:val="0"/>
          <w:color w:val="000000"/>
          <w:spacing w:val="0"/>
          <w:kern w:val="0"/>
          <w:sz w:val="24"/>
          <w:szCs w:val="24"/>
          <w:lang w:val="en-US" w:eastAsia="zh-CN" w:bidi="ar"/>
        </w:rPr>
        <w:t>2.价款支付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textAlignment w:val="auto"/>
        <w:rPr>
          <w:rStyle w:val="6"/>
          <w:rFonts w:hint="eastAsia" w:ascii="仿宋_GB2312" w:hAnsi="sans-serif" w:eastAsia="仿宋_GB2312" w:cs="仿宋_GB2312"/>
          <w:b w:val="0"/>
          <w:bCs w:val="0"/>
          <w:i w:val="0"/>
          <w:caps w:val="0"/>
          <w:color w:val="000000"/>
          <w:spacing w:val="0"/>
          <w:kern w:val="0"/>
          <w:sz w:val="24"/>
          <w:szCs w:val="24"/>
          <w:lang w:val="en-US" w:eastAsia="zh-CN" w:bidi="ar"/>
        </w:rPr>
      </w:pPr>
      <w:r>
        <w:rPr>
          <w:rStyle w:val="6"/>
          <w:rFonts w:hint="eastAsia" w:ascii="仿宋_GB2312" w:hAnsi="sans-serif" w:eastAsia="仿宋_GB2312" w:cs="仿宋_GB2312"/>
          <w:b w:val="0"/>
          <w:bCs w:val="0"/>
          <w:i w:val="0"/>
          <w:caps w:val="0"/>
          <w:color w:val="000000"/>
          <w:spacing w:val="0"/>
          <w:kern w:val="0"/>
          <w:sz w:val="24"/>
          <w:szCs w:val="24"/>
          <w:lang w:val="en-US" w:eastAsia="zh-CN" w:bidi="ar"/>
        </w:rPr>
        <w:t>每月20日结算一次，次月25日前支付上月供货金额的70%。每月办理月度结算后，支付至结算额的70%，乙方全部供货完成后并办理最终结算书，甲方次月30日前支付总结算款的90%，剩余货款在工程竣工验收合格后一年内向乙方无息全款付清。</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A600"/>
    <w:multiLevelType w:val="singleLevel"/>
    <w:tmpl w:val="58E8A60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7EF1"/>
    <w:rsid w:val="00EE2120"/>
    <w:rsid w:val="031069A5"/>
    <w:rsid w:val="0475072B"/>
    <w:rsid w:val="05A57FC8"/>
    <w:rsid w:val="0631190F"/>
    <w:rsid w:val="09D752BF"/>
    <w:rsid w:val="0B6C6D1F"/>
    <w:rsid w:val="104C3CBE"/>
    <w:rsid w:val="115B6142"/>
    <w:rsid w:val="11787FCB"/>
    <w:rsid w:val="150465D3"/>
    <w:rsid w:val="15A7271D"/>
    <w:rsid w:val="16802FC7"/>
    <w:rsid w:val="16DF3A48"/>
    <w:rsid w:val="17467207"/>
    <w:rsid w:val="17660DBE"/>
    <w:rsid w:val="1EDF5E50"/>
    <w:rsid w:val="1F1E0922"/>
    <w:rsid w:val="214E2382"/>
    <w:rsid w:val="21CF2331"/>
    <w:rsid w:val="23965B23"/>
    <w:rsid w:val="24251DC9"/>
    <w:rsid w:val="26B355A6"/>
    <w:rsid w:val="29811BD2"/>
    <w:rsid w:val="298A7EEA"/>
    <w:rsid w:val="2A043D42"/>
    <w:rsid w:val="2B7014F0"/>
    <w:rsid w:val="2E01419F"/>
    <w:rsid w:val="2FF5549A"/>
    <w:rsid w:val="308F2EF0"/>
    <w:rsid w:val="30F70835"/>
    <w:rsid w:val="30F86AB1"/>
    <w:rsid w:val="312863BA"/>
    <w:rsid w:val="31365D74"/>
    <w:rsid w:val="32787C2B"/>
    <w:rsid w:val="349B2A3F"/>
    <w:rsid w:val="35427CA4"/>
    <w:rsid w:val="35832FC8"/>
    <w:rsid w:val="37F72837"/>
    <w:rsid w:val="3AFD60C9"/>
    <w:rsid w:val="3C0102A8"/>
    <w:rsid w:val="3E3D733B"/>
    <w:rsid w:val="3F495A0B"/>
    <w:rsid w:val="41D13EC6"/>
    <w:rsid w:val="44CE459A"/>
    <w:rsid w:val="46311B5C"/>
    <w:rsid w:val="467D6E25"/>
    <w:rsid w:val="46847519"/>
    <w:rsid w:val="4A8C5226"/>
    <w:rsid w:val="4AD61143"/>
    <w:rsid w:val="4C6D3300"/>
    <w:rsid w:val="4D0F6DD5"/>
    <w:rsid w:val="4DF73D83"/>
    <w:rsid w:val="4E5E372B"/>
    <w:rsid w:val="4E743817"/>
    <w:rsid w:val="55094071"/>
    <w:rsid w:val="55245C8A"/>
    <w:rsid w:val="56E46285"/>
    <w:rsid w:val="57F17CA9"/>
    <w:rsid w:val="586C3694"/>
    <w:rsid w:val="58B24C01"/>
    <w:rsid w:val="59090DD3"/>
    <w:rsid w:val="598B5DAB"/>
    <w:rsid w:val="5C3D3901"/>
    <w:rsid w:val="5CE336C2"/>
    <w:rsid w:val="5DF87A93"/>
    <w:rsid w:val="5E4E18B5"/>
    <w:rsid w:val="5FF94083"/>
    <w:rsid w:val="60296210"/>
    <w:rsid w:val="60CF084A"/>
    <w:rsid w:val="62E32345"/>
    <w:rsid w:val="6477059B"/>
    <w:rsid w:val="64E114B7"/>
    <w:rsid w:val="668F626E"/>
    <w:rsid w:val="669F435C"/>
    <w:rsid w:val="68C26D81"/>
    <w:rsid w:val="69355320"/>
    <w:rsid w:val="694A5187"/>
    <w:rsid w:val="69864A01"/>
    <w:rsid w:val="6AF55FD2"/>
    <w:rsid w:val="6B186A17"/>
    <w:rsid w:val="6B4D6DE2"/>
    <w:rsid w:val="6B6F72AA"/>
    <w:rsid w:val="6C1619F3"/>
    <w:rsid w:val="6E6E3F69"/>
    <w:rsid w:val="6F0E17AD"/>
    <w:rsid w:val="6F1708E7"/>
    <w:rsid w:val="703631B2"/>
    <w:rsid w:val="718F7C40"/>
    <w:rsid w:val="71AB1E2D"/>
    <w:rsid w:val="71CF21B4"/>
    <w:rsid w:val="72B454D6"/>
    <w:rsid w:val="72B6019F"/>
    <w:rsid w:val="73F3424A"/>
    <w:rsid w:val="7411024F"/>
    <w:rsid w:val="761D10B5"/>
    <w:rsid w:val="770D7BE7"/>
    <w:rsid w:val="788A0F5D"/>
    <w:rsid w:val="79C61275"/>
    <w:rsid w:val="7BD1208A"/>
    <w:rsid w:val="7E665A49"/>
    <w:rsid w:val="7E673C93"/>
    <w:rsid w:val="7EE870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2020-07-12T07:45:19Z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