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ind w:firstLine="161" w:firstLineChars="50"/>
        <w:jc w:val="center"/>
        <w:rPr>
          <w:b/>
          <w:color w:val="000000" w:themeColor="text1"/>
          <w:sz w:val="32"/>
          <w:szCs w:val="30"/>
          <w14:textFill>
            <w14:solidFill>
              <w14:schemeClr w14:val="tx1"/>
            </w14:solidFill>
          </w14:textFill>
        </w:rPr>
      </w:pPr>
      <w:r>
        <w:rPr>
          <w:rFonts w:hint="eastAsia"/>
          <w:b/>
          <w:color w:val="000000" w:themeColor="text1"/>
          <w:sz w:val="32"/>
          <w:szCs w:val="30"/>
          <w14:textFill>
            <w14:solidFill>
              <w14:schemeClr w14:val="tx1"/>
            </w14:solidFill>
          </w14:textFill>
        </w:rPr>
        <w:t>中建二局华南公司深汕科教大道（南山路至红海大道）</w:t>
      </w:r>
    </w:p>
    <w:p>
      <w:pPr>
        <w:shd w:val="clear" w:color="auto" w:fill="FFFFFF"/>
        <w:spacing w:line="500" w:lineRule="exact"/>
        <w:ind w:firstLine="161" w:firstLineChars="50"/>
        <w:jc w:val="center"/>
        <w:rPr>
          <w:b/>
          <w:color w:val="000000" w:themeColor="text1"/>
          <w:sz w:val="32"/>
          <w:szCs w:val="30"/>
          <w14:textFill>
            <w14:solidFill>
              <w14:schemeClr w14:val="tx1"/>
            </w14:solidFill>
          </w14:textFill>
        </w:rPr>
      </w:pPr>
      <w:r>
        <w:rPr>
          <w:rFonts w:hint="eastAsia"/>
          <w:b/>
          <w:color w:val="000000" w:themeColor="text1"/>
          <w:sz w:val="32"/>
          <w:szCs w:val="30"/>
          <w14:textFill>
            <w14:solidFill>
              <w14:schemeClr w14:val="tx1"/>
            </w14:solidFill>
          </w14:textFill>
        </w:rPr>
        <w:t>建设工程二工区项目</w:t>
      </w:r>
      <w:r>
        <w:rPr>
          <w:rFonts w:hint="eastAsia"/>
          <w:b/>
          <w:color w:val="000000" w:themeColor="text1"/>
          <w:sz w:val="32"/>
          <w:szCs w:val="30"/>
          <w:lang w:val="en-US" w:eastAsia="zh-CN"/>
          <w14:textFill>
            <w14:solidFill>
              <w14:schemeClr w14:val="tx1"/>
            </w14:solidFill>
          </w14:textFill>
        </w:rPr>
        <w:t>试验检测</w:t>
      </w:r>
      <w:r>
        <w:rPr>
          <w:rFonts w:hint="eastAsia"/>
          <w:b/>
          <w:color w:val="000000" w:themeColor="text1"/>
          <w:sz w:val="32"/>
          <w:szCs w:val="30"/>
          <w14:textFill>
            <w14:solidFill>
              <w14:schemeClr w14:val="tx1"/>
            </w14:solidFill>
          </w14:textFill>
        </w:rPr>
        <w:t>分包工程</w:t>
      </w:r>
    </w:p>
    <w:p>
      <w:pPr>
        <w:shd w:val="clear" w:color="auto" w:fill="FFFFFF"/>
        <w:spacing w:line="500" w:lineRule="exact"/>
        <w:ind w:firstLine="181" w:firstLineChars="50"/>
        <w:jc w:val="center"/>
        <w:rPr>
          <w:b/>
          <w:color w:val="000000" w:themeColor="text1"/>
          <w:sz w:val="36"/>
          <w:szCs w:val="30"/>
          <w14:textFill>
            <w14:solidFill>
              <w14:schemeClr w14:val="tx1"/>
            </w14:solidFill>
          </w14:textFill>
        </w:rPr>
      </w:pPr>
      <w:r>
        <w:rPr>
          <w:rFonts w:hint="eastAsia"/>
          <w:b/>
          <w:color w:val="000000" w:themeColor="text1"/>
          <w:sz w:val="36"/>
          <w:szCs w:val="30"/>
          <w14:textFill>
            <w14:solidFill>
              <w14:schemeClr w14:val="tx1"/>
            </w14:solidFill>
          </w14:textFill>
        </w:rPr>
        <w:t>招 标 公 告</w:t>
      </w:r>
    </w:p>
    <w:p>
      <w:pPr>
        <w:shd w:val="clear" w:color="auto" w:fill="FFFFFF"/>
        <w:spacing w:line="500" w:lineRule="exact"/>
        <w:rPr>
          <w:color w:val="000000" w:themeColor="text1"/>
          <w:sz w:val="28"/>
          <w:szCs w:val="28"/>
          <w14:textFill>
            <w14:solidFill>
              <w14:schemeClr w14:val="tx1"/>
            </w14:solidFill>
          </w14:textFill>
        </w:rPr>
      </w:pPr>
    </w:p>
    <w:p>
      <w:pPr>
        <w:shd w:val="clear" w:color="auto" w:fill="FFFFFF"/>
        <w:spacing w:line="500" w:lineRule="exact"/>
        <w:ind w:firstLine="600"/>
        <w:rPr>
          <w:rFonts w:ascii="仿宋" w:hAnsi="仿宋" w:eastAsia="仿宋" w:cs="Times New Roman"/>
          <w:sz w:val="28"/>
          <w:szCs w:val="28"/>
        </w:rPr>
      </w:pPr>
      <w:r>
        <w:rPr>
          <w:rFonts w:hint="eastAsia" w:ascii="仿宋" w:hAnsi="仿宋" w:eastAsia="仿宋"/>
          <w:color w:val="000000" w:themeColor="text1"/>
          <w:sz w:val="28"/>
          <w:szCs w:val="28"/>
          <w14:textFill>
            <w14:solidFill>
              <w14:schemeClr w14:val="tx1"/>
            </w14:solidFill>
          </w14:textFill>
        </w:rPr>
        <w:t>为满足中建二局华南公司深汕科教大道二工区项目临建工程生产需要，</w:t>
      </w:r>
      <w:r>
        <w:rPr>
          <w:rFonts w:hint="eastAsia" w:ascii="仿宋" w:hAnsi="仿宋" w:eastAsia="仿宋"/>
          <w:bCs/>
          <w:color w:val="000000" w:themeColor="text1"/>
          <w:sz w:val="28"/>
          <w:szCs w:val="28"/>
          <w14:textFill>
            <w14:solidFill>
              <w14:schemeClr w14:val="tx1"/>
            </w14:solidFill>
          </w14:textFill>
        </w:rPr>
        <w:t>现</w:t>
      </w:r>
      <w:r>
        <w:rPr>
          <w:rFonts w:hint="eastAsia" w:ascii="仿宋" w:hAnsi="仿宋" w:eastAsia="仿宋"/>
          <w:sz w:val="28"/>
          <w:szCs w:val="28"/>
        </w:rPr>
        <w:t>就</w:t>
      </w:r>
      <w:r>
        <w:rPr>
          <w:rFonts w:hint="eastAsia" w:ascii="仿宋" w:hAnsi="仿宋" w:eastAsia="仿宋"/>
          <w:sz w:val="28"/>
          <w:szCs w:val="28"/>
          <w:lang w:val="en-US" w:eastAsia="zh-CN"/>
        </w:rPr>
        <w:t>项目试验检测</w:t>
      </w:r>
      <w:r>
        <w:rPr>
          <w:rFonts w:hint="eastAsia" w:ascii="仿宋" w:hAnsi="仿宋" w:eastAsia="仿宋"/>
          <w:sz w:val="28"/>
          <w:szCs w:val="28"/>
        </w:rPr>
        <w:t>分包工程进行公开招标，诚邀合格的投标人参与报名，具体要求如下：</w:t>
      </w:r>
    </w:p>
    <w:p>
      <w:pPr>
        <w:keepNext w:val="0"/>
        <w:keepLines w:val="0"/>
        <w:pageBreakBefore w:val="0"/>
        <w:widowControl/>
        <w:shd w:val="clear" w:color="auto" w:fill="FFFFFF"/>
        <w:kinsoku/>
        <w:wordWrap/>
        <w:overflowPunct/>
        <w:topLinePunct w:val="0"/>
        <w:autoSpaceDE/>
        <w:autoSpaceDN/>
        <w:bidi w:val="0"/>
        <w:adjustRightInd/>
        <w:snapToGrid/>
        <w:spacing w:before="163" w:beforeLines="50" w:after="163" w:afterLines="50" w:line="500" w:lineRule="exact"/>
        <w:ind w:firstLine="601"/>
        <w:textAlignment w:val="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一、基本情况</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1、招标组织：中建二局华南公司深汕科教大道二工区项目</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2、项目概况：本项目位于深圳市深汕特别合作区赤石镇，望鹏山隧道开始以北，平交深东大道、福田路、南山路，接华西设计北段。规划红线宽</w:t>
      </w:r>
      <w:r>
        <w:rPr>
          <w:rFonts w:ascii="仿宋" w:hAnsi="仿宋" w:eastAsia="仿宋"/>
          <w:color w:val="000000" w:themeColor="text1"/>
          <w:sz w:val="28"/>
          <w:szCs w:val="28"/>
          <w14:textFill>
            <w14:solidFill>
              <w14:schemeClr w14:val="tx1"/>
            </w14:solidFill>
          </w14:textFill>
        </w:rPr>
        <w:t>60米，双向8车道标准建设，设计车速60km/h，预计建设总长度为3.5公里，包含3座桥梁及综合管廊工程等，不含绿化、智慧交通、燃气工程</w:t>
      </w:r>
      <w:r>
        <w:rPr>
          <w:rFonts w:hint="eastAsia" w:ascii="仿宋" w:hAnsi="仿宋" w:eastAsia="仿宋"/>
          <w:color w:val="000000" w:themeColor="text1"/>
          <w:sz w:val="28"/>
          <w:szCs w:val="28"/>
          <w14:textFill>
            <w14:solidFill>
              <w14:schemeClr w14:val="tx1"/>
            </w14:solidFill>
          </w14:textFill>
        </w:rPr>
        <w:t>。</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3、招标内容：深汕科教大道二工区项目</w:t>
      </w:r>
      <w:r>
        <w:rPr>
          <w:rFonts w:hint="eastAsia" w:ascii="仿宋" w:hAnsi="仿宋" w:eastAsia="仿宋"/>
          <w:color w:val="000000" w:themeColor="text1"/>
          <w:sz w:val="28"/>
          <w:szCs w:val="28"/>
          <w:lang w:val="en-US" w:eastAsia="zh-CN"/>
          <w14:textFill>
            <w14:solidFill>
              <w14:schemeClr w14:val="tx1"/>
            </w14:solidFill>
          </w14:textFill>
        </w:rPr>
        <w:t>试验检测</w:t>
      </w:r>
      <w:bookmarkStart w:id="17" w:name="_GoBack"/>
      <w:bookmarkEnd w:id="17"/>
      <w:r>
        <w:rPr>
          <w:rFonts w:hint="eastAsia" w:ascii="仿宋" w:hAnsi="仿宋" w:eastAsia="仿宋"/>
          <w:color w:val="000000" w:themeColor="text1"/>
          <w:sz w:val="28"/>
          <w:szCs w:val="28"/>
          <w14:textFill>
            <w14:solidFill>
              <w14:schemeClr w14:val="tx1"/>
            </w14:solidFill>
          </w14:textFill>
        </w:rPr>
        <w:t>分包工程</w:t>
      </w:r>
    </w:p>
    <w:p>
      <w:pPr>
        <w:keepNext w:val="0"/>
        <w:keepLines w:val="0"/>
        <w:pageBreakBefore w:val="0"/>
        <w:widowControl/>
        <w:shd w:val="clear" w:color="auto" w:fill="FFFFFF"/>
        <w:kinsoku/>
        <w:wordWrap/>
        <w:overflowPunct/>
        <w:topLinePunct w:val="0"/>
        <w:autoSpaceDE/>
        <w:autoSpaceDN/>
        <w:bidi w:val="0"/>
        <w:adjustRightInd/>
        <w:snapToGrid/>
        <w:spacing w:before="163" w:beforeLines="50" w:after="163" w:afterLines="50" w:line="500" w:lineRule="exact"/>
        <w:ind w:firstLine="562" w:firstLineChars="200"/>
        <w:textAlignment w:val="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二、投标人资格要求</w:t>
      </w:r>
    </w:p>
    <w:p>
      <w:pPr>
        <w:keepNext w:val="0"/>
        <w:keepLines w:val="0"/>
        <w:pageBreakBefore w:val="0"/>
        <w:widowControl/>
        <w:kinsoku/>
        <w:wordWrap/>
        <w:overflowPunct/>
        <w:topLinePunct w:val="0"/>
        <w:autoSpaceDE/>
        <w:autoSpaceDN/>
        <w:bidi w:val="0"/>
        <w:adjustRightInd/>
        <w:snapToGrid/>
        <w:spacing w:before="163" w:beforeLines="50" w:after="163" w:afterLines="5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bookmarkStart w:id="0" w:name="_Toc407185215"/>
      <w:bookmarkStart w:id="1" w:name="_Toc403051837"/>
      <w:bookmarkStart w:id="2" w:name="_Toc396288067"/>
      <w:bookmarkStart w:id="3" w:name="_Toc396294859"/>
      <w:r>
        <w:rPr>
          <w:rFonts w:hint="eastAsia" w:ascii="仿宋" w:hAnsi="仿宋" w:eastAsia="仿宋" w:cs="Calibri"/>
          <w:bCs/>
          <w:color w:val="000000" w:themeColor="text1"/>
          <w:sz w:val="28"/>
          <w:szCs w:val="28"/>
          <w14:textFill>
            <w14:solidFill>
              <w14:schemeClr w14:val="tx1"/>
            </w14:solidFill>
          </w14:textFill>
        </w:rPr>
        <w:t>1、具备法律主体资格，具有独立订立及履行合同的能力。</w:t>
      </w:r>
      <w:bookmarkEnd w:id="0"/>
      <w:bookmarkEnd w:id="1"/>
      <w:bookmarkEnd w:id="2"/>
      <w:bookmarkEnd w:id="3"/>
      <w:bookmarkStart w:id="4" w:name="_Toc407185216"/>
    </w:p>
    <w:p>
      <w:pPr>
        <w:keepNext w:val="0"/>
        <w:keepLines w:val="0"/>
        <w:pageBreakBefore w:val="0"/>
        <w:widowControl/>
        <w:kinsoku/>
        <w:wordWrap/>
        <w:overflowPunct/>
        <w:topLinePunct w:val="0"/>
        <w:autoSpaceDE/>
        <w:autoSpaceDN/>
        <w:bidi w:val="0"/>
        <w:adjustRightInd/>
        <w:snapToGrid/>
        <w:spacing w:before="163" w:beforeLines="50" w:after="163" w:afterLines="50" w:line="500" w:lineRule="exact"/>
        <w:ind w:firstLine="560" w:firstLineChars="200"/>
        <w:textAlignment w:val="auto"/>
        <w:outlineLvl w:val="9"/>
        <w:rPr>
          <w:rFonts w:ascii="仿宋" w:hAnsi="仿宋" w:eastAsia="仿宋" w:cs="Calibri"/>
          <w:bCs/>
          <w:sz w:val="28"/>
          <w:szCs w:val="28"/>
        </w:rPr>
      </w:pPr>
      <w:r>
        <w:rPr>
          <w:rFonts w:hint="eastAsia" w:ascii="仿宋" w:hAnsi="仿宋" w:eastAsia="仿宋" w:cs="Calibri"/>
          <w:bCs/>
          <w:color w:val="000000" w:themeColor="text1"/>
          <w:sz w:val="28"/>
          <w:szCs w:val="28"/>
          <w14:textFill>
            <w14:solidFill>
              <w14:schemeClr w14:val="tx1"/>
            </w14:solidFill>
          </w14:textFill>
        </w:rPr>
        <w:t>2、</w:t>
      </w:r>
      <w:bookmarkEnd w:id="4"/>
      <w:r>
        <w:rPr>
          <w:rFonts w:hint="eastAsia" w:ascii="仿宋" w:hAnsi="仿宋" w:eastAsia="仿宋" w:cs="Calibri"/>
          <w:bCs/>
          <w:color w:val="000000" w:themeColor="text1"/>
          <w:sz w:val="28"/>
          <w:szCs w:val="28"/>
          <w14:textFill>
            <w14:solidFill>
              <w14:schemeClr w14:val="tx1"/>
            </w14:solidFill>
          </w14:textFill>
        </w:rPr>
        <w:t>具备一般纳税人资格，</w:t>
      </w:r>
      <w:r>
        <w:rPr>
          <w:rFonts w:hint="eastAsia" w:ascii="仿宋" w:hAnsi="仿宋" w:eastAsia="仿宋" w:cs="Calibri"/>
          <w:bCs/>
          <w:sz w:val="28"/>
          <w:szCs w:val="28"/>
        </w:rPr>
        <w:t>开具可抵扣增值税专用发票。</w:t>
      </w:r>
    </w:p>
    <w:p>
      <w:pPr>
        <w:keepNext w:val="0"/>
        <w:keepLines w:val="0"/>
        <w:pageBreakBefore w:val="0"/>
        <w:widowControl/>
        <w:kinsoku/>
        <w:wordWrap/>
        <w:overflowPunct/>
        <w:topLinePunct w:val="0"/>
        <w:autoSpaceDE/>
        <w:autoSpaceDN/>
        <w:bidi w:val="0"/>
        <w:adjustRightInd/>
        <w:snapToGrid/>
        <w:spacing w:before="120" w:after="12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bookmarkStart w:id="5" w:name="_Toc407185217"/>
      <w:bookmarkStart w:id="6" w:name="_Toc396288068"/>
      <w:bookmarkStart w:id="7" w:name="_Toc396294860"/>
      <w:bookmarkStart w:id="8" w:name="_Toc403051838"/>
      <w:r>
        <w:rPr>
          <w:rFonts w:hint="eastAsia" w:ascii="仿宋" w:hAnsi="仿宋" w:eastAsia="仿宋" w:cs="Calibri"/>
          <w:bCs/>
          <w:color w:val="000000" w:themeColor="text1"/>
          <w:sz w:val="28"/>
          <w:szCs w:val="28"/>
          <w14:textFill>
            <w14:solidFill>
              <w14:schemeClr w14:val="tx1"/>
            </w14:solidFill>
          </w14:textFill>
        </w:rPr>
        <w:t>3、具备国家有关部门、行业或公司要求必须取得的质量、计量、安全、环保认证及其他经营许可；在国家有关部门和行业的监督检查中没有不良记录；与</w:t>
      </w:r>
      <w:r>
        <w:rPr>
          <w:rFonts w:hint="eastAsia" w:ascii="仿宋" w:hAnsi="仿宋" w:eastAsia="仿宋"/>
          <w:bCs/>
          <w:color w:val="000000" w:themeColor="text1"/>
          <w:sz w:val="28"/>
          <w:szCs w:val="28"/>
          <w14:textFill>
            <w14:solidFill>
              <w14:schemeClr w14:val="tx1"/>
            </w14:solidFill>
          </w14:textFill>
        </w:rPr>
        <w:t>股份公司各单位</w:t>
      </w:r>
      <w:r>
        <w:rPr>
          <w:rFonts w:hint="eastAsia" w:ascii="仿宋" w:hAnsi="仿宋" w:eastAsia="仿宋" w:cs="Calibri"/>
          <w:bCs/>
          <w:color w:val="000000" w:themeColor="text1"/>
          <w:sz w:val="28"/>
          <w:szCs w:val="28"/>
          <w14:textFill>
            <w14:solidFill>
              <w14:schemeClr w14:val="tx1"/>
            </w14:solidFill>
          </w14:textFill>
        </w:rPr>
        <w:t>没有不良合作记录。</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before="120" w:after="12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bookmarkStart w:id="9" w:name="_Toc407185218"/>
      <w:bookmarkStart w:id="10" w:name="_Toc403051839"/>
      <w:bookmarkStart w:id="11" w:name="_Toc396288069"/>
      <w:bookmarkStart w:id="12" w:name="_Toc396294861"/>
      <w:r>
        <w:rPr>
          <w:rFonts w:hint="eastAsia" w:ascii="仿宋" w:hAnsi="仿宋" w:eastAsia="仿宋" w:cs="Calibri"/>
          <w:bCs/>
          <w:color w:val="000000" w:themeColor="text1"/>
          <w:sz w:val="28"/>
          <w:szCs w:val="28"/>
          <w14:textFill>
            <w14:solidFill>
              <w14:schemeClr w14:val="tx1"/>
            </w14:solidFill>
          </w14:textFill>
        </w:rPr>
        <w:t>4、具有一定的经营规模和服务能力</w:t>
      </w:r>
      <w:r>
        <w:rPr>
          <w:rFonts w:hint="eastAsia" w:ascii="仿宋" w:hAnsi="仿宋" w:eastAsia="仿宋" w:cs="Calibri"/>
          <w:bCs/>
          <w:color w:val="000000" w:themeColor="text1"/>
          <w:sz w:val="28"/>
          <w:szCs w:val="28"/>
          <w:lang w:eastAsia="zh-CN"/>
          <w14:textFill>
            <w14:solidFill>
              <w14:schemeClr w14:val="tx1"/>
            </w14:solidFill>
          </w14:textFill>
        </w:rPr>
        <w:t>，</w:t>
      </w:r>
      <w:r>
        <w:rPr>
          <w:rFonts w:hint="eastAsia" w:ascii="仿宋" w:hAnsi="仿宋" w:eastAsia="仿宋" w:cs="Calibri"/>
          <w:bCs/>
          <w:color w:val="000000" w:themeColor="text1"/>
          <w:sz w:val="28"/>
          <w:szCs w:val="28"/>
          <w:lang w:val="en-US" w:eastAsia="zh-CN"/>
          <w14:textFill>
            <w14:solidFill>
              <w14:schemeClr w14:val="tx1"/>
            </w14:solidFill>
          </w14:textFill>
        </w:rPr>
        <w:t>注册资金达到100万以上</w:t>
      </w:r>
      <w:r>
        <w:rPr>
          <w:rFonts w:hint="eastAsia" w:ascii="仿宋" w:hAnsi="仿宋" w:eastAsia="仿宋" w:cs="Calibri"/>
          <w:bCs/>
          <w:color w:val="000000" w:themeColor="text1"/>
          <w:sz w:val="28"/>
          <w:szCs w:val="28"/>
          <w14:textFill>
            <w14:solidFill>
              <w14:schemeClr w14:val="tx1"/>
            </w14:solidFill>
          </w14:textFill>
        </w:rPr>
        <w:t>。</w:t>
      </w:r>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before="120" w:after="12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5、</w:t>
      </w:r>
      <w:bookmarkStart w:id="13" w:name="_Toc403051840"/>
      <w:bookmarkStart w:id="14" w:name="_Toc396288070"/>
      <w:bookmarkStart w:id="15" w:name="_Toc396294862"/>
      <w:bookmarkStart w:id="16" w:name="_Toc407185219"/>
      <w:r>
        <w:rPr>
          <w:rFonts w:hint="eastAsia" w:ascii="仿宋" w:hAnsi="仿宋" w:eastAsia="仿宋" w:cs="Calibri"/>
          <w:bCs/>
          <w:color w:val="000000" w:themeColor="text1"/>
          <w:sz w:val="28"/>
          <w:szCs w:val="28"/>
          <w14:textFill>
            <w14:solidFill>
              <w14:schemeClr w14:val="tx1"/>
            </w14:solidFill>
          </w14:textFill>
        </w:rPr>
        <w:t>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120" w:after="12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6、本次招标不接受联合体投标。</w:t>
      </w:r>
    </w:p>
    <w:bookmarkEnd w:id="13"/>
    <w:bookmarkEnd w:id="14"/>
    <w:bookmarkEnd w:id="15"/>
    <w:bookmarkEnd w:id="16"/>
    <w:p>
      <w:pPr>
        <w:keepNext w:val="0"/>
        <w:keepLines w:val="0"/>
        <w:pageBreakBefore w:val="0"/>
        <w:widowControl/>
        <w:kinsoku/>
        <w:wordWrap/>
        <w:overflowPunct/>
        <w:topLinePunct w:val="0"/>
        <w:autoSpaceDE/>
        <w:autoSpaceDN/>
        <w:bidi w:val="0"/>
        <w:adjustRightInd/>
        <w:snapToGrid/>
        <w:spacing w:before="163" w:beforeLines="50" w:after="163" w:afterLines="5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7、报名IP地址相同，法人相同的公司只通过符合其他资审条件的其中一家公司。</w:t>
      </w:r>
    </w:p>
    <w:p>
      <w:pPr>
        <w:keepNext w:val="0"/>
        <w:keepLines w:val="0"/>
        <w:pageBreakBefore w:val="0"/>
        <w:widowControl/>
        <w:kinsoku/>
        <w:wordWrap/>
        <w:overflowPunct/>
        <w:topLinePunct w:val="0"/>
        <w:autoSpaceDE/>
        <w:autoSpaceDN/>
        <w:bidi w:val="0"/>
        <w:adjustRightInd/>
        <w:snapToGrid/>
        <w:spacing w:before="163" w:beforeLines="50" w:after="163" w:afterLines="5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8、在</w:t>
      </w:r>
      <w:r>
        <w:rPr>
          <w:rFonts w:ascii="仿宋" w:hAnsi="仿宋" w:eastAsia="仿宋" w:cs="Calibri"/>
          <w:bCs/>
          <w:color w:val="000000" w:themeColor="text1"/>
          <w:sz w:val="28"/>
          <w:szCs w:val="28"/>
          <w14:textFill>
            <w14:solidFill>
              <w14:schemeClr w14:val="tx1"/>
            </w14:solidFill>
          </w14:textFill>
        </w:rPr>
        <w:t>中建二局合格供应商名录</w:t>
      </w:r>
      <w:r>
        <w:rPr>
          <w:rFonts w:hint="eastAsia" w:ascii="仿宋" w:hAnsi="仿宋" w:eastAsia="仿宋" w:cs="Calibri"/>
          <w:bCs/>
          <w:color w:val="000000" w:themeColor="text1"/>
          <w:sz w:val="28"/>
          <w:szCs w:val="28"/>
          <w14:textFill>
            <w14:solidFill>
              <w14:schemeClr w14:val="tx1"/>
            </w14:solidFill>
          </w14:textFill>
        </w:rPr>
        <w:t>内。</w:t>
      </w:r>
    </w:p>
    <w:p>
      <w:pPr>
        <w:keepNext w:val="0"/>
        <w:keepLines w:val="0"/>
        <w:pageBreakBefore w:val="0"/>
        <w:widowControl/>
        <w:kinsoku/>
        <w:wordWrap/>
        <w:overflowPunct/>
        <w:topLinePunct w:val="0"/>
        <w:autoSpaceDE/>
        <w:autoSpaceDN/>
        <w:bidi w:val="0"/>
        <w:adjustRightInd/>
        <w:snapToGrid/>
        <w:spacing w:before="163" w:beforeLines="50" w:after="163" w:afterLines="50" w:line="500" w:lineRule="exact"/>
        <w:ind w:firstLine="560" w:firstLineChars="200"/>
        <w:textAlignment w:val="auto"/>
        <w:outlineLvl w:val="9"/>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9、符合上述条件，经项目资格审查合格后，方为合格的投标人。</w:t>
      </w:r>
    </w:p>
    <w:p>
      <w:pPr>
        <w:keepNext w:val="0"/>
        <w:keepLines w:val="0"/>
        <w:pageBreakBefore w:val="0"/>
        <w:widowControl/>
        <w:shd w:val="clear" w:color="auto" w:fill="FFFFFF"/>
        <w:kinsoku/>
        <w:wordWrap/>
        <w:overflowPunct/>
        <w:topLinePunct w:val="0"/>
        <w:autoSpaceDE/>
        <w:autoSpaceDN/>
        <w:bidi w:val="0"/>
        <w:adjustRightInd/>
        <w:snapToGrid/>
        <w:spacing w:before="163" w:beforeLines="50" w:after="163" w:afterLines="50" w:line="500" w:lineRule="exact"/>
        <w:ind w:firstLine="562" w:firstLineChars="200"/>
        <w:textAlignment w:val="auto"/>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三、投标报名</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1、报名时间：</w:t>
      </w:r>
      <w:r>
        <w:rPr>
          <w:rFonts w:hint="eastAsia" w:ascii="仿宋" w:hAnsi="仿宋" w:eastAsia="仿宋"/>
          <w:color w:val="000000" w:themeColor="text1"/>
          <w:sz w:val="28"/>
          <w:szCs w:val="28"/>
          <w:highlight w:val="yellow"/>
          <w:u w:val="single"/>
          <w14:textFill>
            <w14:solidFill>
              <w14:schemeClr w14:val="tx1"/>
            </w14:solidFill>
          </w14:textFill>
        </w:rPr>
        <w:t>以系统截止时间为准</w:t>
      </w:r>
      <w:r>
        <w:rPr>
          <w:rFonts w:hint="eastAsia" w:ascii="仿宋" w:hAnsi="仿宋" w:eastAsia="仿宋"/>
          <w:color w:val="000000" w:themeColor="text1"/>
          <w:sz w:val="28"/>
          <w:szCs w:val="28"/>
          <w14:textFill>
            <w14:solidFill>
              <w14:schemeClr w14:val="tx1"/>
            </w14:solidFill>
          </w14:textFill>
        </w:rPr>
        <w:t>，逾期不再接受投标单位的报名。</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2、报名方式：采取</w:t>
      </w:r>
      <w:r>
        <w:rPr>
          <w:rFonts w:hint="eastAsia" w:ascii="仿宋" w:hAnsi="仿宋" w:eastAsia="仿宋"/>
          <w:b/>
          <w:color w:val="000000" w:themeColor="text1"/>
          <w:sz w:val="28"/>
          <w:szCs w:val="28"/>
          <w14:textFill>
            <w14:solidFill>
              <w14:schemeClr w14:val="tx1"/>
            </w14:solidFill>
          </w14:textFill>
        </w:rPr>
        <w:t>网上报名方式</w:t>
      </w:r>
      <w:r>
        <w:rPr>
          <w:rFonts w:hint="eastAsia" w:ascii="仿宋" w:hAnsi="仿宋" w:eastAsia="仿宋"/>
          <w:color w:val="000000" w:themeColor="text1"/>
          <w:sz w:val="28"/>
          <w:szCs w:val="28"/>
          <w14:textFill>
            <w14:solidFill>
              <w14:schemeClr w14:val="tx1"/>
            </w14:solidFill>
          </w14:textFill>
        </w:rPr>
        <w:t>，通过“云筑网”上进行报名（网址</w:t>
      </w:r>
      <w:r>
        <w:rPr>
          <w:rFonts w:ascii="仿宋" w:hAnsi="仿宋" w:eastAsia="仿宋"/>
          <w:color w:val="000000" w:themeColor="text1"/>
          <w:sz w:val="28"/>
          <w:szCs w:val="28"/>
          <w14:textFill>
            <w14:solidFill>
              <w14:schemeClr w14:val="tx1"/>
            </w14:solidFill>
          </w14:textFill>
        </w:rPr>
        <w:t>http://www.yzw.cn/</w:t>
      </w:r>
      <w:r>
        <w:rPr>
          <w:rFonts w:hint="eastAsia" w:ascii="仿宋" w:hAnsi="仿宋" w:eastAsia="仿宋"/>
          <w:color w:val="000000" w:themeColor="text1"/>
          <w:sz w:val="28"/>
          <w:szCs w:val="28"/>
          <w14:textFill>
            <w14:solidFill>
              <w14:schemeClr w14:val="tx1"/>
            </w14:solidFill>
          </w14:textFill>
        </w:rPr>
        <w:t>），不接受其他方式报名。说明：</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 1 \* GB3 \* MERGEFORMAT </w:instrText>
      </w:r>
      <w:r>
        <w:rPr>
          <w:rFonts w:hint="eastAsia"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①</w:t>
      </w:r>
      <w:r>
        <w:rPr>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已在“云筑网”（网址</w:t>
      </w:r>
      <w:r>
        <w:rPr>
          <w:rFonts w:ascii="仿宋" w:hAnsi="仿宋" w:eastAsia="仿宋"/>
          <w:color w:val="000000" w:themeColor="text1"/>
          <w:sz w:val="28"/>
          <w:szCs w:val="28"/>
          <w14:textFill>
            <w14:solidFill>
              <w14:schemeClr w14:val="tx1"/>
            </w14:solidFill>
          </w14:textFill>
        </w:rPr>
        <w:t>http://www.yzw.cn/</w:t>
      </w:r>
      <w:r>
        <w:rPr>
          <w:rFonts w:hint="eastAsia" w:ascii="仿宋" w:hAnsi="仿宋" w:eastAsia="仿宋"/>
          <w:color w:val="000000" w:themeColor="text1"/>
          <w:sz w:val="28"/>
          <w:szCs w:val="28"/>
          <w14:textFill>
            <w14:solidFill>
              <w14:schemeClr w14:val="tx1"/>
            </w14:solidFill>
          </w14:textFill>
        </w:rPr>
        <w:t>）完成正式供应商注册的投标人，直接登录“云筑网”输入用户名和密码，成功登录后签收招标公告并点击报名；</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 2 \* GB3 \* MERGEFORMAT </w:instrText>
      </w:r>
      <w:r>
        <w:rPr>
          <w:rFonts w:hint="eastAsia"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②</w:t>
      </w:r>
      <w:r>
        <w:rPr>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未在“云筑网”（网址</w:t>
      </w:r>
      <w:r>
        <w:rPr>
          <w:rFonts w:ascii="仿宋" w:hAnsi="仿宋" w:eastAsia="仿宋"/>
          <w:color w:val="000000" w:themeColor="text1"/>
          <w:sz w:val="28"/>
          <w:szCs w:val="28"/>
          <w14:textFill>
            <w14:solidFill>
              <w14:schemeClr w14:val="tx1"/>
            </w14:solidFill>
          </w14:textFill>
        </w:rPr>
        <w:t>http://www.yzw.cn/</w:t>
      </w:r>
      <w:r>
        <w:rPr>
          <w:rFonts w:hint="eastAsia" w:ascii="仿宋" w:hAnsi="仿宋" w:eastAsia="仿宋"/>
          <w:color w:val="000000" w:themeColor="text1"/>
          <w:sz w:val="28"/>
          <w:szCs w:val="28"/>
          <w14:textFill>
            <w14:solidFill>
              <w14:schemeClr w14:val="tx1"/>
            </w14:solidFill>
          </w14:textFill>
        </w:rPr>
        <w:t>）注册的投标人，需先通过“云筑网”网页</w:t>
      </w:r>
      <w:r>
        <w:rPr>
          <w:rFonts w:hint="eastAsia" w:ascii="仿宋" w:hAnsi="仿宋" w:eastAsia="仿宋"/>
          <w:bCs/>
          <w:color w:val="000000" w:themeColor="text1"/>
          <w:sz w:val="28"/>
          <w:szCs w:val="28"/>
          <w14:textFill>
            <w14:solidFill>
              <w14:schemeClr w14:val="tx1"/>
            </w14:solidFill>
          </w14:textFill>
        </w:rPr>
        <w:t>进行注册，注册信息通过审核合格后，再行报名。</w:t>
      </w:r>
    </w:p>
    <w:p>
      <w:pPr>
        <w:keepNext w:val="0"/>
        <w:keepLines w:val="0"/>
        <w:pageBreakBefore w:val="0"/>
        <w:widowControl/>
        <w:shd w:val="clear" w:color="auto" w:fill="FFFFFF"/>
        <w:kinsoku/>
        <w:wordWrap/>
        <w:overflowPunct/>
        <w:topLinePunct w:val="0"/>
        <w:autoSpaceDE/>
        <w:autoSpaceDN/>
        <w:bidi w:val="0"/>
        <w:adjustRightInd/>
        <w:snapToGrid/>
        <w:spacing w:before="163" w:beforeLines="50" w:after="163" w:afterLines="50" w:line="500" w:lineRule="exact"/>
        <w:ind w:firstLine="562" w:firstLineChars="200"/>
        <w:textAlignment w:val="auto"/>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四、发布标书时间</w:t>
      </w:r>
    </w:p>
    <w:p>
      <w:pPr>
        <w:shd w:val="clear" w:color="auto" w:fill="FFFFFF"/>
        <w:spacing w:line="500" w:lineRule="exact"/>
        <w:ind w:firstLine="600"/>
        <w:rPr>
          <w:rFonts w:ascii="仿宋" w:hAnsi="仿宋" w:eastAsia="仿宋" w:cs="Times New Roman"/>
          <w:sz w:val="28"/>
          <w:szCs w:val="28"/>
        </w:rPr>
      </w:pPr>
      <w:r>
        <w:rPr>
          <w:rFonts w:hint="eastAsia" w:ascii="仿宋" w:hAnsi="仿宋" w:eastAsia="仿宋"/>
          <w:sz w:val="28"/>
          <w:szCs w:val="28"/>
        </w:rPr>
        <w:t>招标人将告知投标人是否通过资格预审，对通过资格预审的投标人发布招标文件，时间另行通知。</w:t>
      </w:r>
    </w:p>
    <w:p>
      <w:pPr>
        <w:shd w:val="clear" w:color="auto" w:fill="FFFFFF"/>
        <w:spacing w:line="500" w:lineRule="exact"/>
        <w:ind w:firstLine="600"/>
        <w:rPr>
          <w:rFonts w:ascii="仿宋" w:hAnsi="仿宋" w:eastAsia="仿宋"/>
          <w:color w:val="000000" w:themeColor="text1"/>
          <w:sz w:val="28"/>
          <w:szCs w:val="28"/>
          <w14:textFill>
            <w14:solidFill>
              <w14:schemeClr w14:val="tx1"/>
            </w14:solidFill>
          </w14:textFill>
        </w:rPr>
      </w:pPr>
    </w:p>
    <w:p>
      <w:pPr>
        <w:shd w:val="clear" w:color="auto" w:fill="FFFFFF"/>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  何艳军</w:t>
      </w:r>
    </w:p>
    <w:p>
      <w:pPr>
        <w:spacing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联系电话： </w:t>
      </w:r>
      <w:r>
        <w:rPr>
          <w:rFonts w:hint="eastAsia" w:ascii="仿宋" w:hAnsi="仿宋" w:eastAsia="仿宋"/>
          <w:bCs/>
          <w:color w:val="000000" w:themeColor="text1"/>
          <w:sz w:val="28"/>
          <w:szCs w:val="28"/>
          <w:u w:val="single"/>
          <w14:textFill>
            <w14:solidFill>
              <w14:schemeClr w14:val="tx1"/>
            </w14:solidFill>
          </w14:textFill>
        </w:rPr>
        <w:t>15779008912</w:t>
      </w:r>
    </w:p>
    <w:p>
      <w:pPr>
        <w:shd w:val="clear" w:color="auto" w:fill="FFFFFF"/>
        <w:spacing w:line="50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地址：深圳市深汕特别合作区赤石镇深汕科教大道二工区项目部</w:t>
      </w:r>
      <w:r>
        <w:rPr>
          <w:rFonts w:hint="eastAsia" w:ascii="仿宋" w:hAnsi="仿宋" w:eastAsia="仿宋"/>
          <w:color w:val="000000" w:themeColor="text1"/>
          <w:sz w:val="28"/>
          <w:szCs w:val="28"/>
          <w:lang w:eastAsia="zh-CN"/>
          <w14:textFill>
            <w14:solidFill>
              <w14:schemeClr w14:val="tx1"/>
            </w14:solidFill>
          </w14:textFill>
        </w:rPr>
        <w:t>。</w:t>
      </w:r>
    </w:p>
    <w:p>
      <w:pPr>
        <w:shd w:val="clear" w:color="auto" w:fill="FFFFFF"/>
        <w:spacing w:line="50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p>
    <w:p>
      <w:pPr>
        <w:shd w:val="clear" w:color="auto" w:fill="FFFFFF"/>
        <w:spacing w:line="500" w:lineRule="exact"/>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深汕科教大道二工区项目商务部</w:t>
      </w:r>
    </w:p>
    <w:p>
      <w:pPr>
        <w:shd w:val="clear" w:color="auto" w:fill="FFFFFF"/>
        <w:spacing w:line="500" w:lineRule="exact"/>
        <w:ind w:firstLine="600"/>
        <w:jc w:val="right"/>
        <w:rPr>
          <w:rFonts w:ascii="仿宋" w:hAnsi="仿宋" w:eastAsia="仿宋"/>
          <w:color w:val="000000" w:themeColor="text1"/>
          <w:sz w:val="28"/>
          <w:szCs w:val="28"/>
          <w14:textFill>
            <w14:solidFill>
              <w14:schemeClr w14:val="tx1"/>
            </w14:solidFill>
          </w14:textFill>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19"/>
    <w:rsid w:val="00037C0A"/>
    <w:rsid w:val="000A2B71"/>
    <w:rsid w:val="00141013"/>
    <w:rsid w:val="00142FD7"/>
    <w:rsid w:val="001563B4"/>
    <w:rsid w:val="00165593"/>
    <w:rsid w:val="001E4012"/>
    <w:rsid w:val="00217336"/>
    <w:rsid w:val="00335F19"/>
    <w:rsid w:val="003456EB"/>
    <w:rsid w:val="003C2854"/>
    <w:rsid w:val="0048190A"/>
    <w:rsid w:val="004B7565"/>
    <w:rsid w:val="005044A1"/>
    <w:rsid w:val="00525B57"/>
    <w:rsid w:val="00542181"/>
    <w:rsid w:val="00594AA2"/>
    <w:rsid w:val="006725C5"/>
    <w:rsid w:val="00691FCF"/>
    <w:rsid w:val="006D0A49"/>
    <w:rsid w:val="00706568"/>
    <w:rsid w:val="00725ED3"/>
    <w:rsid w:val="007F5564"/>
    <w:rsid w:val="008C7D5B"/>
    <w:rsid w:val="00905B7F"/>
    <w:rsid w:val="00992CC6"/>
    <w:rsid w:val="00997908"/>
    <w:rsid w:val="009C06D5"/>
    <w:rsid w:val="009D3108"/>
    <w:rsid w:val="009F1613"/>
    <w:rsid w:val="00A05E3E"/>
    <w:rsid w:val="00A9180D"/>
    <w:rsid w:val="00AC57DF"/>
    <w:rsid w:val="00AC67FA"/>
    <w:rsid w:val="00B13D09"/>
    <w:rsid w:val="00B66F6A"/>
    <w:rsid w:val="00BC4883"/>
    <w:rsid w:val="00BC60DE"/>
    <w:rsid w:val="00BF0EC9"/>
    <w:rsid w:val="00C90086"/>
    <w:rsid w:val="00C96EF6"/>
    <w:rsid w:val="00CD6EA7"/>
    <w:rsid w:val="00D5234D"/>
    <w:rsid w:val="00E30C82"/>
    <w:rsid w:val="00E56231"/>
    <w:rsid w:val="00FB248C"/>
    <w:rsid w:val="04541BCE"/>
    <w:rsid w:val="09DB1CC9"/>
    <w:rsid w:val="11655BC8"/>
    <w:rsid w:val="14AA0A6A"/>
    <w:rsid w:val="23165D2F"/>
    <w:rsid w:val="38F56C43"/>
    <w:rsid w:val="3C5E7F69"/>
    <w:rsid w:val="462B3B10"/>
    <w:rsid w:val="52E6717B"/>
    <w:rsid w:val="5E387405"/>
    <w:rsid w:val="60FD09A0"/>
    <w:rsid w:val="69F24593"/>
    <w:rsid w:val="735D2C34"/>
    <w:rsid w:val="7BBE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宋体" w:hAnsi="宋体" w:eastAsia="宋体" w:cs="宋体"/>
      <w:kern w:val="0"/>
      <w:sz w:val="18"/>
      <w:szCs w:val="18"/>
    </w:rPr>
  </w:style>
  <w:style w:type="character" w:customStyle="1" w:styleId="7">
    <w:name w:val="页脚 字符"/>
    <w:basedOn w:val="5"/>
    <w:link w:val="2"/>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966</Characters>
  <Lines>8</Lines>
  <Paragraphs>2</Paragraphs>
  <TotalTime>175</TotalTime>
  <ScaleCrop>false</ScaleCrop>
  <LinksUpToDate>false</LinksUpToDate>
  <CharactersWithSpaces>1133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2019-04-19T04:24:00Z</dcterms:created>
  <dc:creator>杨 玉慧</dc:creator>
  <cp:lastModifiedBy>尘缘何时了~</cp:lastModifiedBy>
  <dcterms:modified xsi:type="dcterms:W3CDTF">2019-11-27T01:10:16Z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