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sz w:val="36"/>
          <w:szCs w:val="28"/>
        </w:rPr>
      </w:pPr>
      <w:r>
        <w:rPr>
          <w:rFonts w:hint="eastAsia" w:ascii="仿宋" w:hAnsi="仿宋" w:eastAsia="仿宋"/>
          <w:b/>
          <w:sz w:val="36"/>
          <w:szCs w:val="28"/>
        </w:rPr>
        <w:t>中建一局集团西北分公司</w:t>
      </w:r>
      <w:r>
        <w:rPr>
          <w:rFonts w:hint="eastAsia" w:ascii="仿宋" w:hAnsi="仿宋" w:eastAsia="仿宋"/>
          <w:b/>
          <w:sz w:val="36"/>
          <w:szCs w:val="28"/>
          <w:lang w:val="en-US" w:eastAsia="zh-CN"/>
        </w:rPr>
        <w:t xml:space="preserve">富平县温泉河综合治理二期工程项目导视标识 </w:t>
      </w:r>
      <w:r>
        <w:rPr>
          <w:rFonts w:hint="eastAsia" w:ascii="仿宋" w:hAnsi="仿宋" w:eastAsia="仿宋"/>
          <w:b/>
          <w:sz w:val="36"/>
          <w:szCs w:val="28"/>
        </w:rPr>
        <w:t>“资格预审文件”评审细则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1.细则说明：</w:t>
      </w:r>
      <w:bookmarkStart w:id="0" w:name="_GoBack"/>
      <w:bookmarkEnd w:id="0"/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根据中国建筑一局（集团）有限公司西北分公司招投标实施主导思想及招标公告规定制定此“资格预审文件”评审细则。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根据本次招标</w:t>
      </w:r>
      <w:r>
        <w:rPr>
          <w:rFonts w:hint="eastAsia" w:ascii="仿宋" w:hAnsi="仿宋" w:eastAsia="仿宋"/>
          <w:sz w:val="28"/>
          <w:szCs w:val="28"/>
        </w:rPr>
        <w:t>的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富平县温泉河综合治理二期工程项目</w:t>
      </w:r>
      <w:r>
        <w:rPr>
          <w:rFonts w:hint="eastAsia" w:ascii="宋体" w:hAnsi="宋体" w:eastAsia="宋体" w:cs="宋体"/>
          <w:snapToGrid w:val="0"/>
          <w:color w:val="000000"/>
          <w:sz w:val="30"/>
          <w:szCs w:val="30"/>
          <w:lang w:val="en-US" w:eastAsia="zh-CN"/>
        </w:rPr>
        <w:t>导视标识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工程 </w:t>
      </w:r>
      <w:r>
        <w:rPr>
          <w:rFonts w:hint="eastAsia" w:ascii="仿宋" w:hAnsi="仿宋" w:eastAsia="仿宋"/>
          <w:sz w:val="28"/>
          <w:szCs w:val="28"/>
        </w:rPr>
        <w:t>招标公告规定，投标人在接收招标文件前，须按招标文件要求提交“资格预审文件”。</w:t>
      </w:r>
    </w:p>
    <w:p>
      <w:pPr>
        <w:ind w:firstLine="57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“资格预审文件”由招标人组建的“招标小组”人员进行公平、公正的核查、审核，但不对外公开。投标人是否通过资格预审的一切理由，招标人均不作任何解释。“资格预审文件”不合格的企业将无法收到招标文件。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2.“资格预审文件”评审内容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资格预审文件中出现下列现象的，一律按不合格处理：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(1)资格预审文件未按招标公告要求提供下列企业核心文件：营业执照、资质证书、安全生产许可证、开户许可证、供应商资格预审表、法定代表人身份证明书、授权委托书等。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(2)资格预审文件中企业名称与云筑网上注册企业名称不相符。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(3)企业注册资金不满足招标公告要求的。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(4)供应商资格预审表、法定代表人身份证明书、授权委托书未按招标人给定格式或内容填报。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(5)其他与招标公告要求严重不符，影响招标公正性的情况（例如：出现两个投标委托人、报名IP地址相同等）。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(6)未在规定时间内按招标人要求补充和完善资料。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3.出现下列情况，招标人可以要求补充资料或按要求重新提交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（1）未按招标公告规定顺序装订资格预审文件；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（2）</w:t>
      </w:r>
      <w:r>
        <w:rPr>
          <w:rFonts w:ascii="仿宋" w:hAnsi="仿宋" w:eastAsia="仿宋"/>
          <w:sz w:val="28"/>
          <w:szCs w:val="28"/>
        </w:rPr>
        <w:t>资格预审文件</w:t>
      </w:r>
      <w:r>
        <w:rPr>
          <w:rFonts w:hint="eastAsia" w:ascii="仿宋" w:hAnsi="仿宋" w:eastAsia="仿宋"/>
          <w:sz w:val="28"/>
          <w:szCs w:val="28"/>
        </w:rPr>
        <w:t>个别页漏盖红章的；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（3）字迹或章不清楚；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（4）其他招标人认为不影响本次招标公正性的情况。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（5）资格预审通过供应商数量无法满足招标人采购需求。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4.经过评标专家小组成员评定，“资格预审文件”合格的企业为有效投标人。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5.本资审办法经采购实施主办单位组织评审通过后生效。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ind w:firstLine="3078" w:firstLineChars="1095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中国建筑一局（集团）有限公司西北分公司</w:t>
      </w:r>
    </w:p>
    <w:p>
      <w:pPr>
        <w:jc w:val="righ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2020</w:t>
      </w:r>
      <w:r>
        <w:rPr>
          <w:rFonts w:hint="eastAsia" w:ascii="宋体" w:hAnsi="宋体" w:eastAsia="宋体"/>
          <w:b/>
          <w:sz w:val="28"/>
          <w:szCs w:val="28"/>
        </w:rPr>
        <w:t>年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b/>
          <w:color w:val="FF0000"/>
          <w:sz w:val="28"/>
          <w:szCs w:val="28"/>
        </w:rPr>
        <w:t xml:space="preserve"> </w:t>
      </w:r>
      <w:r>
        <w:rPr>
          <w:rFonts w:hint="eastAsia" w:ascii="宋体" w:hAnsi="宋体" w:eastAsia="宋体"/>
          <w:b/>
          <w:sz w:val="28"/>
          <w:szCs w:val="28"/>
        </w:rPr>
        <w:t xml:space="preserve">月 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15</w:t>
      </w:r>
      <w:r>
        <w:rPr>
          <w:rFonts w:hint="eastAsia" w:ascii="宋体" w:hAnsi="宋体" w:eastAsia="宋体"/>
          <w:b/>
          <w:sz w:val="28"/>
          <w:szCs w:val="28"/>
        </w:rPr>
        <w:t>日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1455"/>
    <w:rsid w:val="00011251"/>
    <w:rsid w:val="000144CF"/>
    <w:rsid w:val="00020D5F"/>
    <w:rsid w:val="00042014"/>
    <w:rsid w:val="00054319"/>
    <w:rsid w:val="00097484"/>
    <w:rsid w:val="000E5153"/>
    <w:rsid w:val="0018597A"/>
    <w:rsid w:val="001859DD"/>
    <w:rsid w:val="001A09EF"/>
    <w:rsid w:val="002105AA"/>
    <w:rsid w:val="002B1336"/>
    <w:rsid w:val="003B1425"/>
    <w:rsid w:val="0040404D"/>
    <w:rsid w:val="00405869"/>
    <w:rsid w:val="00594C5F"/>
    <w:rsid w:val="005A3FD7"/>
    <w:rsid w:val="005F3914"/>
    <w:rsid w:val="0062718A"/>
    <w:rsid w:val="00660BD2"/>
    <w:rsid w:val="00676BFB"/>
    <w:rsid w:val="006F4545"/>
    <w:rsid w:val="00755959"/>
    <w:rsid w:val="00782A2D"/>
    <w:rsid w:val="00782F38"/>
    <w:rsid w:val="007D3560"/>
    <w:rsid w:val="0080502D"/>
    <w:rsid w:val="00871456"/>
    <w:rsid w:val="00877CC8"/>
    <w:rsid w:val="00896FCB"/>
    <w:rsid w:val="008F7DA0"/>
    <w:rsid w:val="00906085"/>
    <w:rsid w:val="00910A3E"/>
    <w:rsid w:val="00912865"/>
    <w:rsid w:val="009732D4"/>
    <w:rsid w:val="009A2D27"/>
    <w:rsid w:val="00A2189E"/>
    <w:rsid w:val="00A368C0"/>
    <w:rsid w:val="00A679AF"/>
    <w:rsid w:val="00A71300"/>
    <w:rsid w:val="00AC7D51"/>
    <w:rsid w:val="00AF2595"/>
    <w:rsid w:val="00B10B82"/>
    <w:rsid w:val="00B4441F"/>
    <w:rsid w:val="00B47FEC"/>
    <w:rsid w:val="00B50F17"/>
    <w:rsid w:val="00BB4BDF"/>
    <w:rsid w:val="00BC4A09"/>
    <w:rsid w:val="00BD0A7C"/>
    <w:rsid w:val="00C72DAC"/>
    <w:rsid w:val="00C75E91"/>
    <w:rsid w:val="00C93888"/>
    <w:rsid w:val="00CD7688"/>
    <w:rsid w:val="00D505C9"/>
    <w:rsid w:val="00D638C3"/>
    <w:rsid w:val="00D87556"/>
    <w:rsid w:val="00DB5C3C"/>
    <w:rsid w:val="00E36502"/>
    <w:rsid w:val="00E61455"/>
    <w:rsid w:val="00E93F73"/>
    <w:rsid w:val="00ED4FAE"/>
    <w:rsid w:val="00F13792"/>
    <w:rsid w:val="00F204EA"/>
    <w:rsid w:val="00F34460"/>
    <w:rsid w:val="00F85E1E"/>
    <w:rsid w:val="00FE03CA"/>
    <w:rsid w:val="0C954313"/>
    <w:rsid w:val="5289480E"/>
    <w:rsid w:val="68A00A79"/>
    <w:rsid w:val="698A70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115</Words>
  <Characters>661</Characters>
  <Lines>5</Lines>
  <Paragraphs>1</Paragraphs>
  <TotalTime>0</TotalTime>
  <ScaleCrop>false</ScaleCrop>
  <LinksUpToDate>false</LinksUpToDate>
  <CharactersWithSpaces>775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2017-03-15T01:29:00Z</dcterms:created>
  <dc:creator>李剑</dc:creator>
  <cp:lastModifiedBy>曹田田</cp:lastModifiedBy>
  <dcterms:modified xsi:type="dcterms:W3CDTF">2020-09-15T01:58:54Z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