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sz w:val="36"/>
          <w:szCs w:val="36"/>
        </w:rPr>
      </w:pPr>
    </w:p>
    <w:p>
      <w:pPr>
        <w:spacing w:line="520" w:lineRule="exact"/>
        <w:jc w:val="center"/>
        <w:rPr>
          <w:rFonts w:ascii="宋体" w:hAnsi="宋体"/>
          <w:sz w:val="36"/>
          <w:szCs w:val="36"/>
          <w:u w:val="single"/>
        </w:rPr>
      </w:pPr>
      <w:r>
        <w:rPr>
          <w:rFonts w:hint="eastAsia" w:ascii="宋体" w:hAnsi="宋体"/>
          <w:sz w:val="36"/>
          <w:szCs w:val="36"/>
        </w:rPr>
        <w:t>招 标 公 告</w:t>
      </w:r>
    </w:p>
    <w:p>
      <w:pPr>
        <w:spacing w:line="520" w:lineRule="exact"/>
        <w:rPr>
          <w:rFonts w:ascii="宋体" w:hAnsi="宋体"/>
          <w:b/>
        </w:rPr>
      </w:pPr>
      <w:r>
        <w:rPr>
          <w:rFonts w:hint="eastAsia" w:ascii="宋体" w:hAnsi="宋体"/>
        </w:rPr>
        <w:t>一、</w:t>
      </w:r>
      <w:r>
        <w:rPr>
          <w:rFonts w:hint="eastAsia" w:ascii="宋体" w:hAnsi="宋体"/>
          <w:b/>
        </w:rPr>
        <w:t>招标形式及范围要求</w:t>
      </w:r>
    </w:p>
    <w:p>
      <w:pPr>
        <w:spacing w:line="520" w:lineRule="exact"/>
        <w:ind w:left="735" w:leftChars="150" w:hanging="420" w:hangingChars="200"/>
        <w:rPr>
          <w:rFonts w:ascii="宋体" w:hAnsi="宋体"/>
        </w:rPr>
      </w:pPr>
      <w:r>
        <w:rPr>
          <w:rFonts w:hint="eastAsia" w:ascii="宋体" w:hAnsi="宋体"/>
        </w:rPr>
        <w:t>1.1本招标项目按照《中华人民共和国招标投标法》等有关法律、行政法规和部门规章，通过公开招标方式选定承包商。</w:t>
      </w:r>
    </w:p>
    <w:p>
      <w:pPr>
        <w:spacing w:line="520" w:lineRule="exact"/>
        <w:ind w:left="630" w:leftChars="150" w:hanging="315" w:hangingChars="150"/>
        <w:rPr>
          <w:rFonts w:ascii="宋体" w:hAnsi="宋体" w:cs="宋体"/>
          <w:szCs w:val="21"/>
        </w:rPr>
      </w:pPr>
      <w:r>
        <w:rPr>
          <w:rFonts w:hint="eastAsia" w:ascii="宋体" w:hAnsi="宋体"/>
        </w:rPr>
        <w:t>1.2招标范围：青岛金茂智慧新城C</w:t>
      </w:r>
      <w:r>
        <w:rPr>
          <w:rFonts w:hint="eastAsia" w:ascii="宋体" w:hAnsi="宋体"/>
          <w:lang w:val="en-US" w:eastAsia="zh-CN"/>
        </w:rPr>
        <w:t>2</w:t>
      </w:r>
      <w:r>
        <w:rPr>
          <w:rFonts w:ascii="宋体" w:hAnsi="宋体"/>
        </w:rPr>
        <w:t>1</w:t>
      </w:r>
      <w:r>
        <w:rPr>
          <w:rFonts w:hint="eastAsia" w:ascii="宋体" w:hAnsi="宋体"/>
        </w:rPr>
        <w:t>地块二次结构及粗装修工程</w:t>
      </w:r>
      <w:r>
        <w:rPr>
          <w:rFonts w:hint="eastAsia" w:ascii="宋体" w:hAnsi="宋体" w:cs="宋体"/>
          <w:szCs w:val="21"/>
        </w:rPr>
        <w:t>。详见招标清单。</w:t>
      </w:r>
    </w:p>
    <w:p>
      <w:pPr>
        <w:tabs>
          <w:tab w:val="left" w:pos="4815"/>
        </w:tabs>
        <w:spacing w:line="520" w:lineRule="exact"/>
        <w:ind w:left="630" w:leftChars="150" w:hanging="315" w:hangingChars="150"/>
        <w:rPr>
          <w:szCs w:val="21"/>
        </w:rPr>
      </w:pPr>
      <w:r>
        <w:rPr>
          <w:rFonts w:hint="eastAsia"/>
          <w:szCs w:val="21"/>
        </w:rPr>
        <w:t>1.3中标单位须提供增值税专用发票。</w:t>
      </w:r>
      <w:r>
        <w:rPr>
          <w:rFonts w:hint="eastAsia"/>
          <w:szCs w:val="21"/>
        </w:rPr>
        <w:tab/>
      </w:r>
    </w:p>
    <w:p>
      <w:pPr>
        <w:spacing w:line="520" w:lineRule="exact"/>
        <w:rPr>
          <w:rFonts w:ascii="宋体" w:hAnsi="宋体"/>
          <w:b/>
        </w:rPr>
      </w:pPr>
      <w:r>
        <w:rPr>
          <w:rFonts w:hint="eastAsia" w:ascii="宋体" w:hAnsi="宋体"/>
          <w:szCs w:val="21"/>
        </w:rPr>
        <w:t>二、</w:t>
      </w:r>
      <w:r>
        <w:rPr>
          <w:rFonts w:hint="eastAsia" w:ascii="宋体" w:hAnsi="宋体"/>
          <w:b/>
        </w:rPr>
        <w:t>投标人资格</w:t>
      </w:r>
    </w:p>
    <w:p>
      <w:pPr>
        <w:spacing w:line="520" w:lineRule="exact"/>
        <w:ind w:left="630" w:leftChars="150" w:hanging="315" w:hangingChars="150"/>
        <w:rPr>
          <w:rFonts w:ascii="宋体" w:hAnsi="宋体"/>
          <w:szCs w:val="21"/>
        </w:rPr>
      </w:pPr>
      <w:r>
        <w:rPr>
          <w:rFonts w:hint="eastAsia" w:ascii="宋体" w:hAnsi="宋体"/>
          <w:szCs w:val="21"/>
        </w:rPr>
        <w:t>2.1</w:t>
      </w:r>
      <w:r>
        <w:t xml:space="preserve"> 中</w:t>
      </w:r>
      <w:r>
        <w:rPr>
          <w:rFonts w:hint="eastAsia"/>
        </w:rPr>
        <w:t>建二局第三建筑工程有限公司直营业务部范围内的所有合格承包方。</w:t>
      </w:r>
    </w:p>
    <w:p>
      <w:pPr>
        <w:spacing w:line="520" w:lineRule="exact"/>
        <w:rPr>
          <w:rFonts w:ascii="宋体" w:hAnsi="宋体"/>
          <w:b/>
        </w:rPr>
      </w:pPr>
      <w:r>
        <w:rPr>
          <w:rFonts w:hint="eastAsia" w:ascii="宋体" w:hAnsi="宋体"/>
          <w:szCs w:val="21"/>
        </w:rPr>
        <w:t>三、</w:t>
      </w:r>
      <w:r>
        <w:rPr>
          <w:rFonts w:hint="eastAsia" w:ascii="宋体" w:hAnsi="宋体"/>
          <w:b/>
        </w:rPr>
        <w:t>招标原则</w:t>
      </w:r>
    </w:p>
    <w:p>
      <w:pPr>
        <w:spacing w:line="520" w:lineRule="exact"/>
        <w:ind w:firstLine="315" w:firstLineChars="150"/>
      </w:pPr>
      <w:r>
        <w:rPr>
          <w:rFonts w:hint="eastAsia"/>
        </w:rPr>
        <w:t>3.1</w:t>
      </w:r>
      <w:r>
        <w:t>遵循公开、公平、公正和诚实信用的原则。</w:t>
      </w:r>
    </w:p>
    <w:p>
      <w:pPr>
        <w:spacing w:line="520" w:lineRule="exact"/>
        <w:ind w:firstLine="315" w:firstLineChars="150"/>
      </w:pPr>
      <w:r>
        <w:rPr>
          <w:rFonts w:hint="eastAsia"/>
        </w:rPr>
        <w:t xml:space="preserve">3.2 </w:t>
      </w:r>
      <w:r>
        <w:rPr>
          <w:rStyle w:val="10"/>
          <w:rFonts w:hint="eastAsia"/>
          <w:color w:val="000000"/>
          <w:szCs w:val="21"/>
        </w:rPr>
        <w:t> </w:t>
      </w:r>
      <w:r>
        <w:rPr>
          <w:rFonts w:hint="eastAsia"/>
          <w:color w:val="000000"/>
          <w:szCs w:val="21"/>
        </w:rPr>
        <w:t>由项目、总部生产资源部、直营生产资源部、经济管理部、财务部门主管人员组成招标委员会。</w:t>
      </w:r>
    </w:p>
    <w:p>
      <w:pPr>
        <w:spacing w:line="520" w:lineRule="exact"/>
        <w:rPr>
          <w:rFonts w:ascii="宋体" w:hAnsi="宋体"/>
          <w:b/>
          <w:color w:val="333333"/>
          <w:szCs w:val="21"/>
        </w:rPr>
      </w:pPr>
      <w:r>
        <w:rPr>
          <w:rFonts w:hint="eastAsia" w:ascii="宋体" w:hAnsi="宋体"/>
          <w:b/>
          <w:color w:val="333333"/>
          <w:szCs w:val="21"/>
        </w:rPr>
        <w:t>四、定标原则</w:t>
      </w:r>
    </w:p>
    <w:p>
      <w:pPr>
        <w:spacing w:line="520" w:lineRule="exact"/>
        <w:ind w:firstLine="315" w:firstLineChars="150"/>
        <w:rPr>
          <w:rFonts w:ascii="宋体" w:hAnsi="宋体"/>
        </w:rPr>
      </w:pPr>
      <w:r>
        <w:rPr>
          <w:rFonts w:hint="eastAsia" w:ascii="宋体" w:hAnsi="宋体"/>
        </w:rPr>
        <w:t>4.1</w:t>
      </w:r>
      <w:r>
        <w:rPr>
          <w:rFonts w:hint="eastAsia" w:ascii="宋体" w:hAnsi="宋体" w:cs="宋体"/>
          <w:szCs w:val="21"/>
        </w:rPr>
        <w:t>在质量、服务同等的条件下，优先合理低价中标；</w:t>
      </w:r>
    </w:p>
    <w:p>
      <w:pPr>
        <w:spacing w:line="520" w:lineRule="exact"/>
        <w:ind w:firstLine="315" w:firstLineChars="150"/>
        <w:rPr>
          <w:rFonts w:ascii="宋体" w:hAnsi="宋体" w:cs="宋体"/>
          <w:szCs w:val="21"/>
        </w:rPr>
      </w:pPr>
      <w:r>
        <w:rPr>
          <w:rFonts w:hint="eastAsia" w:ascii="宋体" w:hAnsi="宋体"/>
        </w:rPr>
        <w:t>4.2</w:t>
      </w:r>
      <w:r>
        <w:rPr>
          <w:rFonts w:hint="eastAsia" w:ascii="宋体" w:hAnsi="宋体" w:cs="宋体"/>
          <w:szCs w:val="21"/>
        </w:rPr>
        <w:t>在</w:t>
      </w:r>
      <w:r>
        <w:rPr>
          <w:rFonts w:hint="eastAsia" w:hAnsi="宋体" w:cs="宋体"/>
          <w:szCs w:val="21"/>
        </w:rPr>
        <w:t>4.1</w:t>
      </w:r>
      <w:r>
        <w:rPr>
          <w:rFonts w:hint="eastAsia" w:ascii="宋体" w:hAnsi="宋体" w:cs="宋体"/>
          <w:szCs w:val="21"/>
        </w:rPr>
        <w:t>条情况下又承诺垫资者，优先中标。</w:t>
      </w:r>
    </w:p>
    <w:p>
      <w:pPr>
        <w:pStyle w:val="2"/>
        <w:spacing w:line="520" w:lineRule="exact"/>
        <w:ind w:left="0" w:leftChars="0"/>
        <w:rPr>
          <w:rFonts w:ascii="宋体" w:hAnsi="宋体"/>
        </w:rPr>
      </w:pPr>
      <w:r>
        <w:rPr>
          <w:rFonts w:hint="eastAsia" w:ascii="宋体" w:hAnsi="宋体"/>
        </w:rPr>
        <w:t>五、</w:t>
      </w:r>
      <w:r>
        <w:rPr>
          <w:rFonts w:hint="eastAsia" w:ascii="宋体" w:hAnsi="宋体"/>
          <w:b/>
        </w:rPr>
        <w:t>质量要求</w:t>
      </w:r>
    </w:p>
    <w:p>
      <w:pPr>
        <w:spacing w:line="520" w:lineRule="exact"/>
        <w:ind w:firstLine="210" w:firstLineChars="100"/>
        <w:rPr>
          <w:rFonts w:ascii="宋体" w:hAnsi="宋体"/>
        </w:rPr>
      </w:pPr>
      <w:r>
        <w:rPr>
          <w:rFonts w:hint="eastAsia" w:ascii="宋体" w:hAnsi="宋体"/>
        </w:rPr>
        <w:t>5.1 严格执行国家现行有效质量标准，不合格产品禁止使用；</w:t>
      </w:r>
    </w:p>
    <w:p>
      <w:pPr>
        <w:spacing w:line="520" w:lineRule="exact"/>
        <w:ind w:firstLine="210" w:firstLineChars="100"/>
        <w:rPr>
          <w:rFonts w:ascii="宋体" w:hAnsi="宋体"/>
        </w:rPr>
      </w:pPr>
      <w:r>
        <w:rPr>
          <w:rFonts w:hint="eastAsia" w:ascii="宋体" w:hAnsi="宋体"/>
        </w:rPr>
        <w:t>5.2 必须提供材质证明等质量文件；</w:t>
      </w:r>
    </w:p>
    <w:p>
      <w:pPr>
        <w:spacing w:line="520" w:lineRule="exact"/>
        <w:ind w:firstLine="210" w:firstLineChars="100"/>
        <w:rPr>
          <w:rFonts w:ascii="宋体" w:hAnsi="宋体"/>
        </w:rPr>
      </w:pPr>
      <w:r>
        <w:rPr>
          <w:rFonts w:hint="eastAsia" w:ascii="宋体" w:hAnsi="宋体"/>
        </w:rPr>
        <w:t>5.3 档次要求：符合本工程设计要求，满足工程使用条件。</w:t>
      </w:r>
    </w:p>
    <w:p>
      <w:pPr>
        <w:spacing w:line="520" w:lineRule="exact"/>
        <w:rPr>
          <w:rFonts w:ascii="宋体" w:hAnsi="宋体"/>
          <w:b/>
        </w:rPr>
      </w:pPr>
      <w:r>
        <w:rPr>
          <w:rFonts w:hint="eastAsia" w:ascii="宋体" w:hAnsi="宋体"/>
          <w:b/>
        </w:rPr>
        <w:t>六、付款及结算</w:t>
      </w:r>
    </w:p>
    <w:p>
      <w:pPr>
        <w:spacing w:line="520" w:lineRule="exact"/>
        <w:ind w:firstLine="210" w:firstLineChars="100"/>
        <w:rPr>
          <w:rFonts w:ascii="宋体" w:hAnsi="宋体"/>
        </w:rPr>
      </w:pPr>
      <w:r>
        <w:rPr>
          <w:rFonts w:hint="eastAsia" w:ascii="宋体" w:hAnsi="宋体"/>
        </w:rPr>
        <w:t>6.1   本工程没有预付款。</w:t>
      </w:r>
    </w:p>
    <w:p>
      <w:pPr>
        <w:spacing w:line="520" w:lineRule="exact"/>
        <w:ind w:firstLine="210" w:firstLineChars="100"/>
        <w:rPr>
          <w:rFonts w:ascii="宋体" w:hAnsi="宋体"/>
        </w:rPr>
      </w:pPr>
      <w:r>
        <w:rPr>
          <w:rFonts w:hint="eastAsia" w:ascii="宋体" w:hAnsi="宋体"/>
        </w:rPr>
        <w:t>6.2   月度结算</w:t>
      </w:r>
    </w:p>
    <w:p>
      <w:pPr>
        <w:spacing w:line="520" w:lineRule="exact"/>
        <w:ind w:firstLine="210" w:firstLineChars="100"/>
        <w:rPr>
          <w:rFonts w:ascii="宋体" w:hAnsi="宋体"/>
        </w:rPr>
      </w:pPr>
      <w:r>
        <w:rPr>
          <w:rFonts w:hint="eastAsia" w:ascii="宋体" w:hAnsi="宋体"/>
        </w:rPr>
        <w:t>6.2.1 在本合同执行期间均要进行月度结算，乙方每月20日之前向甲方报送上月已完成工程量。甲乙双方结合实际工作内容是否最终完成的情况对分包进行月度结算，经过双方核对后共同确认月度正式结算。</w:t>
      </w:r>
    </w:p>
    <w:p>
      <w:pPr>
        <w:spacing w:line="520" w:lineRule="exact"/>
        <w:ind w:firstLine="210" w:firstLineChars="100"/>
        <w:rPr>
          <w:rFonts w:ascii="宋体" w:hAnsi="宋体"/>
        </w:rPr>
      </w:pPr>
      <w:r>
        <w:rPr>
          <w:rFonts w:hint="eastAsia" w:ascii="宋体" w:hAnsi="宋体"/>
        </w:rPr>
        <w:t>6.2.2 发包人自承包人进场施工后每月应结清上月完成的工作量，乙方于每月20日上报上月20日至本月19日工程进度及工程量统计报表，逾期上报的视为自动放弃当月工程进度款领取要求，双方于3日内完成核对并办理月度结算。</w:t>
      </w:r>
    </w:p>
    <w:p>
      <w:pPr>
        <w:spacing w:line="520" w:lineRule="exact"/>
        <w:ind w:firstLine="210" w:firstLineChars="100"/>
        <w:rPr>
          <w:rFonts w:ascii="宋体" w:hAnsi="宋体"/>
        </w:rPr>
      </w:pPr>
      <w:r>
        <w:rPr>
          <w:rFonts w:hint="eastAsia" w:ascii="宋体" w:hAnsi="宋体"/>
        </w:rPr>
        <w:t>6.2.3 对于未按合同要求完成月度结算的，不予支付工程款。待双方完成前期工作的正式结算并且月度结算能够正常完成时，甲方可按结算继续正常支付</w:t>
      </w:r>
      <w:bookmarkStart w:id="0" w:name="_GoBack"/>
      <w:bookmarkEnd w:id="0"/>
      <w:r>
        <w:rPr>
          <w:rFonts w:hint="eastAsia" w:ascii="宋体" w:hAnsi="宋体"/>
        </w:rPr>
        <w:t>。</w:t>
      </w:r>
    </w:p>
    <w:p>
      <w:pPr>
        <w:spacing w:line="520" w:lineRule="exact"/>
        <w:ind w:firstLine="210" w:firstLineChars="100"/>
        <w:rPr>
          <w:rFonts w:ascii="宋体" w:hAnsi="宋体"/>
        </w:rPr>
      </w:pPr>
      <w:r>
        <w:rPr>
          <w:rFonts w:hint="eastAsia" w:ascii="宋体" w:hAnsi="宋体"/>
        </w:rPr>
        <w:t>6.2.4 零星用工部分每天办理签字手续（工程部），当月办理结算，逾期不予办理。工程中签证在签证发生3个工作日内办理好文字手续，当月完成签证预结算，施工过程中所有签证费用不予支付，在竣工结算时一次性支付签证费用。</w:t>
      </w:r>
    </w:p>
    <w:p>
      <w:pPr>
        <w:spacing w:line="520" w:lineRule="exact"/>
        <w:ind w:firstLine="210" w:firstLineChars="100"/>
        <w:rPr>
          <w:rFonts w:ascii="宋体" w:hAnsi="宋体"/>
        </w:rPr>
      </w:pPr>
      <w:r>
        <w:rPr>
          <w:rFonts w:hint="eastAsia" w:ascii="宋体" w:hAnsi="宋体"/>
        </w:rPr>
        <w:t>6.2.5按照图纸全部施工完成后按月度结算金额的50%-70%支付工程款。</w:t>
      </w:r>
    </w:p>
    <w:p>
      <w:pPr>
        <w:spacing w:line="520" w:lineRule="exact"/>
        <w:ind w:firstLine="210" w:firstLineChars="100"/>
        <w:rPr>
          <w:rFonts w:ascii="宋体" w:hAnsi="宋体"/>
        </w:rPr>
      </w:pPr>
      <w:r>
        <w:rPr>
          <w:rFonts w:hint="eastAsia" w:ascii="宋体" w:hAnsi="宋体"/>
        </w:rPr>
        <w:t>6.3  结算与支付</w:t>
      </w:r>
    </w:p>
    <w:p>
      <w:pPr>
        <w:spacing w:line="520" w:lineRule="exact"/>
        <w:ind w:firstLine="210" w:firstLineChars="100"/>
        <w:rPr>
          <w:rFonts w:ascii="宋体" w:hAnsi="宋体"/>
        </w:rPr>
      </w:pPr>
      <w:r>
        <w:rPr>
          <w:rFonts w:hint="eastAsia" w:ascii="宋体" w:hAnsi="宋体"/>
        </w:rPr>
        <w:t>6.3.1 合同约定内容全部履行完毕且验收合格后的1个月内，按甲方规定填报完工申请表并申报工程结算书，结算书所附资料必须完整有效，发包方在收到工程结算书后15天内办理完结算审核工作，双方在结算书上签字盖章。</w:t>
      </w:r>
    </w:p>
    <w:p>
      <w:pPr>
        <w:spacing w:line="520" w:lineRule="exact"/>
        <w:ind w:firstLine="210" w:firstLineChars="100"/>
        <w:rPr>
          <w:rFonts w:ascii="宋体" w:hAnsi="宋体"/>
        </w:rPr>
      </w:pPr>
      <w:r>
        <w:rPr>
          <w:rFonts w:hint="eastAsia" w:ascii="宋体" w:hAnsi="宋体"/>
        </w:rPr>
        <w:t>6.3.2 本工程乙方承包范围内，不发生任何其它费用。</w:t>
      </w:r>
    </w:p>
    <w:p>
      <w:pPr>
        <w:spacing w:line="520" w:lineRule="exact"/>
        <w:ind w:firstLine="210" w:firstLineChars="100"/>
        <w:rPr>
          <w:rFonts w:ascii="宋体" w:hAnsi="宋体"/>
        </w:rPr>
      </w:pPr>
      <w:r>
        <w:rPr>
          <w:rFonts w:hint="eastAsia" w:ascii="宋体" w:hAnsi="宋体"/>
        </w:rPr>
        <w:t xml:space="preserve">      结算金额＝合同固定单价×双方确认的工程量（按照实际施工图纸计算工程量）-各项罚款。</w:t>
      </w:r>
    </w:p>
    <w:p>
      <w:pPr>
        <w:spacing w:line="520" w:lineRule="exact"/>
        <w:ind w:firstLine="210" w:firstLineChars="100"/>
        <w:rPr>
          <w:rFonts w:ascii="宋体" w:hAnsi="宋体"/>
        </w:rPr>
      </w:pPr>
      <w:r>
        <w:rPr>
          <w:rFonts w:hint="eastAsia" w:ascii="宋体" w:hAnsi="宋体"/>
        </w:rPr>
        <w:t>6.3.3 必须配合其他分包作业，工序完成需要有工序交结检，否则不予结算。</w:t>
      </w:r>
    </w:p>
    <w:p>
      <w:pPr>
        <w:spacing w:line="520" w:lineRule="exact"/>
        <w:ind w:firstLine="210" w:firstLineChars="100"/>
        <w:rPr>
          <w:rFonts w:ascii="宋体" w:hAnsi="宋体"/>
        </w:rPr>
      </w:pPr>
      <w:r>
        <w:rPr>
          <w:rFonts w:hint="eastAsia" w:ascii="宋体" w:hAnsi="宋体"/>
        </w:rPr>
        <w:t>6.3.4 乙方在施工过程中发生的合同外项目费用签证必须及时办理，经甲方项目经理签字确认后生效。口头的任何承诺无效，结算时不予后补和计量。</w:t>
      </w:r>
    </w:p>
    <w:p>
      <w:pPr>
        <w:spacing w:line="520" w:lineRule="exact"/>
        <w:ind w:firstLine="210" w:firstLineChars="100"/>
        <w:rPr>
          <w:rFonts w:ascii="宋体" w:hAnsi="宋体"/>
        </w:rPr>
      </w:pPr>
      <w:r>
        <w:rPr>
          <w:rFonts w:hint="eastAsia" w:ascii="宋体" w:hAnsi="宋体"/>
        </w:rPr>
        <w:t>6.4   付款方式：银行转账、信用证、银行保票、承兑汇票、汇款转账，发票与银行账户相一致。</w:t>
      </w:r>
    </w:p>
    <w:p>
      <w:pPr>
        <w:spacing w:line="520" w:lineRule="exact"/>
        <w:rPr>
          <w:rFonts w:ascii="宋体" w:hAnsi="宋体"/>
        </w:rPr>
      </w:pPr>
      <w:r>
        <w:rPr>
          <w:rFonts w:hint="eastAsia" w:ascii="宋体" w:hAnsi="宋体"/>
          <w:b/>
        </w:rPr>
        <w:t>八、</w:t>
      </w:r>
      <w:r>
        <w:rPr>
          <w:rFonts w:hint="eastAsia" w:ascii="宋体" w:hAnsi="宋体"/>
          <w:b/>
          <w:szCs w:val="21"/>
        </w:rPr>
        <w:t>开标时间</w:t>
      </w:r>
      <w:r>
        <w:rPr>
          <w:rFonts w:hint="eastAsia" w:ascii="宋体" w:hAnsi="宋体"/>
          <w:szCs w:val="21"/>
        </w:rPr>
        <w:t>：  见网上招标期限</w:t>
      </w:r>
    </w:p>
    <w:p>
      <w:pPr>
        <w:spacing w:line="520" w:lineRule="exact"/>
        <w:rPr>
          <w:rFonts w:ascii="宋体" w:hAnsi="宋体"/>
          <w:szCs w:val="21"/>
        </w:rPr>
      </w:pPr>
      <w:r>
        <w:rPr>
          <w:rFonts w:hint="eastAsia" w:ascii="宋体" w:hAnsi="宋体"/>
          <w:b/>
          <w:szCs w:val="21"/>
        </w:rPr>
        <w:t>九、</w:t>
      </w:r>
      <w:r>
        <w:rPr>
          <w:rFonts w:hint="eastAsia"/>
          <w:b/>
        </w:rPr>
        <w:t>联系人</w:t>
      </w:r>
      <w:r>
        <w:rPr>
          <w:rFonts w:hint="eastAsia"/>
        </w:rPr>
        <w:t xml:space="preserve">：崔旭 </w:t>
      </w:r>
      <w:r>
        <w:t xml:space="preserve"> 17362232336</w:t>
      </w:r>
    </w:p>
    <w:p/>
    <w:sectPr>
      <w:headerReference r:id="rId3" w:type="default"/>
      <w:footerReference r:id="rId4" w:type="default"/>
      <w:pgSz w:w="11906" w:h="16838"/>
      <w:pgMar w:top="1134" w:right="680" w:bottom="79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华文细黑">
    <w:panose1 w:val="02010600040101010101"/>
    <w:charset w:val="86"/>
    <w:family w:val="auto"/>
    <w:pitch w:val="default"/>
    <w:sig w:usb0="00000287" w:usb1="080F0000" w:usb2="00000000" w:usb3="00000000" w:csb0="0004009F" w:csb1="DFD7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细黑" w:hAnsi="华文细黑" w:eastAsia="华文细黑"/>
      </w:rPr>
    </w:pPr>
    <w:r>
      <w:rPr>
        <w:rFonts w:hint="eastAsia" w:ascii="华文细黑" w:hAnsi="华文细黑" w:eastAsia="华文细黑"/>
        <w:kern w:val="0"/>
      </w:rPr>
      <w:t xml:space="preserve">第 </w:t>
    </w:r>
    <w:r>
      <w:rPr>
        <w:rFonts w:ascii="华文细黑" w:hAnsi="华文细黑" w:eastAsia="华文细黑"/>
        <w:kern w:val="0"/>
      </w:rPr>
      <w:fldChar w:fldCharType="begin"/>
    </w:r>
    <w:r>
      <w:rPr>
        <w:rFonts w:ascii="华文细黑" w:hAnsi="华文细黑" w:eastAsia="华文细黑"/>
        <w:kern w:val="0"/>
      </w:rPr>
      <w:instrText xml:space="preserve"> PAGE </w:instrText>
    </w:r>
    <w:r>
      <w:rPr>
        <w:rFonts w:ascii="华文细黑" w:hAnsi="华文细黑" w:eastAsia="华文细黑"/>
        <w:kern w:val="0"/>
      </w:rPr>
      <w:fldChar w:fldCharType="separate"/>
    </w:r>
    <w:r>
      <w:rPr>
        <w:rFonts w:ascii="华文细黑" w:hAnsi="华文细黑" w:eastAsia="华文细黑"/>
        <w:kern w:val="0"/>
      </w:rPr>
      <w:t>1</w:t>
    </w:r>
    <w:r>
      <w:rPr>
        <w:rFonts w:ascii="华文细黑" w:hAnsi="华文细黑" w:eastAsia="华文细黑"/>
        <w:kern w:val="0"/>
      </w:rPr>
      <w:fldChar w:fldCharType="end"/>
    </w:r>
    <w:r>
      <w:rPr>
        <w:rFonts w:hint="eastAsia" w:ascii="华文细黑" w:hAnsi="华文细黑" w:eastAsia="华文细黑"/>
        <w:kern w:val="0"/>
      </w:rPr>
      <w:t xml:space="preserve"> 页 共 </w:t>
    </w:r>
    <w:r>
      <w:rPr>
        <w:rFonts w:ascii="华文细黑" w:hAnsi="华文细黑" w:eastAsia="华文细黑"/>
        <w:kern w:val="0"/>
      </w:rPr>
      <w:fldChar w:fldCharType="begin"/>
    </w:r>
    <w:r>
      <w:rPr>
        <w:rFonts w:ascii="华文细黑" w:hAnsi="华文细黑" w:eastAsia="华文细黑"/>
        <w:kern w:val="0"/>
      </w:rPr>
      <w:instrText xml:space="preserve"> NUMPAGES </w:instrText>
    </w:r>
    <w:r>
      <w:rPr>
        <w:rFonts w:ascii="华文细黑" w:hAnsi="华文细黑" w:eastAsia="华文细黑"/>
        <w:kern w:val="0"/>
      </w:rPr>
      <w:fldChar w:fldCharType="separate"/>
    </w:r>
    <w:r>
      <w:rPr>
        <w:rFonts w:ascii="华文细黑" w:hAnsi="华文细黑" w:eastAsia="华文细黑"/>
        <w:kern w:val="0"/>
      </w:rPr>
      <w:t>2</w:t>
    </w:r>
    <w:r>
      <w:rPr>
        <w:rFonts w:ascii="华文细黑" w:hAnsi="华文细黑" w:eastAsia="华文细黑"/>
        <w:kern w:val="0"/>
      </w:rPr>
      <w:fldChar w:fldCharType="end"/>
    </w:r>
    <w:r>
      <w:rPr>
        <w:rFonts w:hint="eastAsia" w:ascii="华文细黑" w:hAnsi="华文细黑" w:eastAsia="华文细黑"/>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360"/>
      <w:jc w:val="both"/>
      <w:rPr>
        <w:rFonts w:ascii="宋体" w:hAnsi="宋体"/>
      </w:rPr>
    </w:pPr>
    <w:r>
      <w:rPr>
        <w:rFonts w:ascii="华文细黑" w:hAnsi="华文细黑" w:eastAsia="华文细黑"/>
        <w:sz w:val="20"/>
      </w:rPr>
      <w:pict>
        <v:shape id="Picture 1" o:spid="_x0000_s3073" o:spt="75" type="#_x0000_t75" style="position:absolute;left:0pt;margin-left:9pt;margin-top:-9.25pt;height:17.75pt;width:18pt;z-index:251659264;mso-width-relative:page;mso-height-relative:page;" o:ole="t" filled="f" o:preferrelative="t" stroked="f" coordsize="21600,21600">
          <v:path/>
          <v:fill on="f" focussize="0,0"/>
          <v:stroke on="f" joinstyle="miter"/>
          <v:imagedata r:id="rId2" o:title=""/>
          <o:lock v:ext="edit" aspectratio="t"/>
        </v:shape>
        <o:OLEObject Type="Embed" ProgID="PBrush" ShapeID="Picture 1" DrawAspect="Content" ObjectID="_1468075725" r:id="rId1">
          <o:LockedField>false</o:LockedField>
        </o:OLEObject>
      </w:pict>
    </w:r>
    <w:r>
      <w:rPr>
        <w:rFonts w:hint="eastAsia" w:ascii="华文细黑" w:hAnsi="华文细黑" w:eastAsia="华文细黑"/>
      </w:rPr>
      <w:t xml:space="preserve">中建二局第三建筑工程有限公司                                                                     </w:t>
    </w:r>
    <w:r>
      <w:rPr>
        <w:rFonts w:hint="eastAsia" w:ascii="宋体" w:hAnsi="宋体"/>
      </w:rPr>
      <w:t>招标公告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3"/>
    <w:rsid w:val="00057262"/>
    <w:rsid w:val="0007523D"/>
    <w:rsid w:val="000D0AA7"/>
    <w:rsid w:val="00192CC2"/>
    <w:rsid w:val="00202AF8"/>
    <w:rsid w:val="00217733"/>
    <w:rsid w:val="0022324D"/>
    <w:rsid w:val="002724BB"/>
    <w:rsid w:val="00302071"/>
    <w:rsid w:val="0037245A"/>
    <w:rsid w:val="003D2955"/>
    <w:rsid w:val="0045270C"/>
    <w:rsid w:val="0045719E"/>
    <w:rsid w:val="004832FE"/>
    <w:rsid w:val="0048411D"/>
    <w:rsid w:val="00496AB0"/>
    <w:rsid w:val="004D309A"/>
    <w:rsid w:val="004E7E5B"/>
    <w:rsid w:val="0060767E"/>
    <w:rsid w:val="00607E76"/>
    <w:rsid w:val="0065340C"/>
    <w:rsid w:val="00664EB5"/>
    <w:rsid w:val="006C04EB"/>
    <w:rsid w:val="006D0415"/>
    <w:rsid w:val="007310D3"/>
    <w:rsid w:val="007E5C61"/>
    <w:rsid w:val="007F0EA1"/>
    <w:rsid w:val="00845C6A"/>
    <w:rsid w:val="00855ACA"/>
    <w:rsid w:val="00856030"/>
    <w:rsid w:val="008569D3"/>
    <w:rsid w:val="008E5CC3"/>
    <w:rsid w:val="009C4375"/>
    <w:rsid w:val="00BB2B47"/>
    <w:rsid w:val="00BC47C5"/>
    <w:rsid w:val="00C075A3"/>
    <w:rsid w:val="00C82994"/>
    <w:rsid w:val="00CE608C"/>
    <w:rsid w:val="00D3436B"/>
    <w:rsid w:val="00D74870"/>
    <w:rsid w:val="00D86D1F"/>
    <w:rsid w:val="00DA5D6F"/>
    <w:rsid w:val="00DA7EC7"/>
    <w:rsid w:val="00DE0AAF"/>
    <w:rsid w:val="00DF20A3"/>
    <w:rsid w:val="00E4477E"/>
    <w:rsid w:val="00E470DE"/>
    <w:rsid w:val="00E53596"/>
    <w:rsid w:val="00E7251E"/>
    <w:rsid w:val="00EB41B1"/>
    <w:rsid w:val="00EC03ED"/>
    <w:rsid w:val="00EC5316"/>
    <w:rsid w:val="00EE698F"/>
    <w:rsid w:val="00F72D12"/>
    <w:rsid w:val="00FE54C4"/>
    <w:rsid w:val="00FF00E2"/>
    <w:rsid w:val="00FF3A55"/>
    <w:rsid w:val="09E65E85"/>
    <w:rsid w:val="2E2547CD"/>
    <w:rsid w:val="3B021F29"/>
    <w:rsid w:val="676327BB"/>
    <w:rsid w:val="7159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uiPriority w:val="99"/>
    <w:rPr>
      <w:sz w:val="18"/>
      <w:szCs w:val="18"/>
    </w:rPr>
  </w:style>
  <w:style w:type="character" w:customStyle="1" w:styleId="9">
    <w:name w:val="日期 字符"/>
    <w:basedOn w:val="5"/>
    <w:link w:val="2"/>
    <w:uiPriority w:val="0"/>
    <w:rPr>
      <w:rFonts w:ascii="Times New Roman" w:hAnsi="Times New Roman" w:eastAsia="宋体" w:cs="Times New Roman"/>
      <w:szCs w:val="24"/>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185</Words>
  <Characters>1056</Characters>
  <Lines>8</Lines>
  <Paragraphs>2</Paragraphs>
  <TotalTime>80</TotalTime>
  <ScaleCrop>false</ScaleCrop>
  <LinksUpToDate>false</LinksUpToDate>
  <CharactersWithSpaces>1239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2018-01-18T06:56:00Z</dcterms:created>
  <dc:creator>张扬</dc:creator>
  <cp:lastModifiedBy>Administrator</cp:lastModifiedBy>
  <dcterms:modified xsi:type="dcterms:W3CDTF">2018-11-03T03:03:39Z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