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44"/>
          <w:szCs w:val="44"/>
        </w:rPr>
      </w:pPr>
      <w:r>
        <w:rPr>
          <w:rFonts w:hint="eastAsia" w:ascii="仿宋" w:hAnsi="仿宋" w:eastAsia="仿宋" w:cs="仿宋"/>
        </w:rPr>
        <w:drawing>
          <wp:inline distT="0" distB="0" distL="0" distR="0">
            <wp:extent cx="2512695" cy="580390"/>
            <wp:effectExtent l="0" t="0" r="1905" b="13970"/>
            <wp:docPr id="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pic:cNvPicPr>
                      <a:picLocks noChangeAspect="1" noChangeArrowheads="1"/>
                    </pic:cNvPicPr>
                  </pic:nvPicPr>
                  <pic:blipFill>
                    <a:blip r:embed="rId4">
                      <a:extLst>
                        <a:ext uri="{28A0092B-C50C-407E-A947-70E740481C1C}">
                          <a14:useLocalDpi xmlns:a14="http://schemas.microsoft.com/office/drawing/2010/main" val="0"/>
                        </a:ext>
                      </a:extLst>
                    </a:blip>
                    <a:srcRect r="36661"/>
                    <a:stretch>
                      <a:fillRect/>
                    </a:stretch>
                  </pic:blipFill>
                  <pic:spPr>
                    <a:xfrm>
                      <a:off x="0" y="0"/>
                      <a:ext cx="2512695" cy="580390"/>
                    </a:xfrm>
                    <a:prstGeom prst="rect">
                      <a:avLst/>
                    </a:prstGeom>
                    <a:noFill/>
                    <a:ln>
                      <a:noFill/>
                    </a:ln>
                  </pic:spPr>
                </pic:pic>
              </a:graphicData>
            </a:graphic>
          </wp:inline>
        </w:drawing>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中国建筑第五工程局有限公司</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ind w:firstLine="2850"/>
        <w:jc w:val="center"/>
        <w:rPr>
          <w:rFonts w:hint="eastAsia" w:ascii="仿宋" w:hAnsi="仿宋" w:eastAsia="仿宋" w:cs="仿宋"/>
          <w:sz w:val="30"/>
          <w:szCs w:val="30"/>
        </w:rPr>
      </w:pPr>
    </w:p>
    <w:p>
      <w:pPr>
        <w:spacing w:line="360" w:lineRule="auto"/>
        <w:jc w:val="center"/>
        <w:outlineLvl w:val="0"/>
        <w:rPr>
          <w:rFonts w:hint="eastAsia" w:ascii="仿宋" w:hAnsi="仿宋" w:eastAsia="仿宋" w:cs="仿宋"/>
          <w:b/>
          <w:bCs/>
          <w:color w:val="000000"/>
          <w:sz w:val="32"/>
          <w:szCs w:val="32"/>
          <w:lang w:val="en-US" w:eastAsia="zh-CN"/>
        </w:rPr>
      </w:pPr>
      <w:bookmarkStart w:id="0" w:name="_Toc25234"/>
      <w:r>
        <w:rPr>
          <w:rFonts w:hint="eastAsia" w:ascii="仿宋" w:hAnsi="仿宋" w:eastAsia="仿宋" w:cs="仿宋"/>
          <w:b/>
          <w:bCs/>
          <w:color w:val="000000"/>
          <w:sz w:val="32"/>
          <w:szCs w:val="32"/>
        </w:rPr>
        <w:t>淮北</w:t>
      </w:r>
      <w:r>
        <w:rPr>
          <w:rFonts w:hint="eastAsia" w:ascii="仿宋" w:hAnsi="仿宋" w:eastAsia="仿宋" w:cs="仿宋"/>
          <w:b/>
          <w:bCs/>
          <w:color w:val="000000"/>
          <w:sz w:val="32"/>
          <w:szCs w:val="32"/>
          <w:lang w:val="en-US" w:eastAsia="zh-CN"/>
        </w:rPr>
        <w:t>师范大学信息学院新校区一期</w:t>
      </w:r>
      <w:bookmarkEnd w:id="0"/>
    </w:p>
    <w:p>
      <w:pPr>
        <w:spacing w:line="360" w:lineRule="auto"/>
        <w:ind w:right="-94" w:rightChars="-39"/>
        <w:jc w:val="center"/>
        <w:outlineLvl w:val="0"/>
        <w:rPr>
          <w:rFonts w:hint="eastAsia" w:ascii="仿宋" w:hAnsi="仿宋" w:eastAsia="仿宋" w:cs="仿宋"/>
          <w:b/>
          <w:bCs/>
          <w:sz w:val="32"/>
          <w:szCs w:val="32"/>
          <w:lang w:val="en-US" w:eastAsia="zh-CN"/>
        </w:rPr>
      </w:pPr>
      <w:bookmarkStart w:id="1" w:name="_Toc1173"/>
      <w:r>
        <w:rPr>
          <w:rFonts w:hint="eastAsia" w:ascii="仿宋" w:hAnsi="仿宋" w:eastAsia="仿宋" w:cs="仿宋"/>
          <w:b/>
          <w:bCs/>
          <w:sz w:val="32"/>
          <w:szCs w:val="32"/>
          <w:lang w:val="en-US" w:eastAsia="zh-CN"/>
        </w:rPr>
        <w:t>预拌砂浆</w:t>
      </w:r>
      <w:r>
        <w:rPr>
          <w:rFonts w:hint="eastAsia" w:ascii="仿宋" w:hAnsi="仿宋" w:eastAsia="仿宋" w:cs="仿宋"/>
          <w:b/>
          <w:bCs/>
          <w:sz w:val="32"/>
          <w:szCs w:val="32"/>
        </w:rPr>
        <w:t>采购招标</w:t>
      </w:r>
      <w:bookmarkEnd w:id="1"/>
      <w:r>
        <w:rPr>
          <w:rFonts w:hint="eastAsia" w:ascii="仿宋" w:hAnsi="仿宋" w:eastAsia="仿宋" w:cs="仿宋"/>
          <w:b/>
          <w:bCs/>
          <w:sz w:val="32"/>
          <w:szCs w:val="32"/>
          <w:lang w:val="en-US" w:eastAsia="zh-CN"/>
        </w:rPr>
        <w:t>公告</w:t>
      </w:r>
    </w:p>
    <w:p>
      <w:pPr>
        <w:spacing w:line="360" w:lineRule="auto"/>
        <w:ind w:firstLine="2850"/>
        <w:jc w:val="center"/>
        <w:rPr>
          <w:rFonts w:hint="eastAsia" w:ascii="仿宋" w:hAnsi="仿宋" w:eastAsia="仿宋" w:cs="仿宋"/>
          <w:sz w:val="30"/>
          <w:szCs w:val="30"/>
          <w:u w:val="single"/>
        </w:rPr>
      </w:pPr>
    </w:p>
    <w:p>
      <w:pPr>
        <w:spacing w:line="360" w:lineRule="auto"/>
        <w:jc w:val="center"/>
        <w:rPr>
          <w:rFonts w:hint="eastAsia" w:ascii="仿宋" w:hAnsi="仿宋" w:eastAsia="仿宋" w:cs="仿宋"/>
          <w:sz w:val="30"/>
          <w:szCs w:val="30"/>
        </w:rPr>
      </w:pPr>
    </w:p>
    <w:p>
      <w:pPr>
        <w:spacing w:line="360" w:lineRule="auto"/>
        <w:jc w:val="center"/>
        <w:rPr>
          <w:rFonts w:hint="eastAsia" w:ascii="仿宋" w:hAnsi="仿宋" w:eastAsia="仿宋" w:cs="仿宋"/>
          <w:sz w:val="30"/>
          <w:szCs w:val="30"/>
        </w:rPr>
      </w:pPr>
    </w:p>
    <w:p>
      <w:pPr>
        <w:spacing w:line="360" w:lineRule="auto"/>
        <w:jc w:val="center"/>
        <w:rPr>
          <w:rFonts w:hint="eastAsia" w:ascii="仿宋" w:hAnsi="仿宋" w:eastAsia="仿宋" w:cs="仿宋"/>
          <w:sz w:val="30"/>
          <w:szCs w:val="30"/>
        </w:rPr>
      </w:pPr>
    </w:p>
    <w:p>
      <w:pPr>
        <w:tabs>
          <w:tab w:val="left" w:pos="2220"/>
        </w:tabs>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ab/>
      </w:r>
    </w:p>
    <w:p>
      <w:pPr>
        <w:spacing w:line="360" w:lineRule="auto"/>
        <w:jc w:val="center"/>
        <w:rPr>
          <w:rFonts w:hint="eastAsia" w:ascii="仿宋" w:hAnsi="仿宋" w:eastAsia="仿宋" w:cs="仿宋"/>
          <w:sz w:val="30"/>
          <w:szCs w:val="30"/>
        </w:rPr>
      </w:pPr>
    </w:p>
    <w:p>
      <w:pPr>
        <w:spacing w:line="360" w:lineRule="auto"/>
        <w:jc w:val="center"/>
        <w:rPr>
          <w:rFonts w:hint="eastAsia" w:ascii="仿宋" w:hAnsi="仿宋" w:eastAsia="仿宋" w:cs="仿宋"/>
          <w:sz w:val="30"/>
          <w:szCs w:val="30"/>
        </w:rPr>
      </w:pPr>
    </w:p>
    <w:p>
      <w:pPr>
        <w:spacing w:line="360" w:lineRule="auto"/>
        <w:ind w:firstLine="2700" w:firstLineChars="900"/>
        <w:jc w:val="both"/>
        <w:rPr>
          <w:rFonts w:hint="default" w:ascii="仿宋" w:hAnsi="仿宋" w:eastAsia="仿宋" w:cs="仿宋"/>
          <w:sz w:val="30"/>
          <w:szCs w:val="30"/>
          <w:u w:val="single"/>
          <w:lang w:val="en-US" w:eastAsia="zh-CN"/>
        </w:rPr>
      </w:pPr>
      <w:r>
        <w:rPr>
          <w:rFonts w:hint="eastAsia" w:ascii="仿宋" w:hAnsi="仿宋" w:eastAsia="仿宋" w:cs="仿宋"/>
          <w:sz w:val="30"/>
          <w:szCs w:val="30"/>
        </w:rPr>
        <w:t>招标日期：</w:t>
      </w:r>
      <w:r>
        <w:rPr>
          <w:rFonts w:hint="eastAsia" w:ascii="仿宋" w:hAnsi="仿宋" w:eastAsia="仿宋" w:cs="仿宋"/>
          <w:sz w:val="30"/>
          <w:szCs w:val="30"/>
          <w:u w:val="single"/>
          <w:lang w:val="en-US" w:eastAsia="zh-CN"/>
        </w:rPr>
        <w:t>2020.07.15</w:t>
      </w:r>
    </w:p>
    <w:p>
      <w:pPr>
        <w:pStyle w:val="2"/>
        <w:keepNext w:val="0"/>
        <w:jc w:val="center"/>
        <w:rPr>
          <w:rFonts w:hint="eastAsia" w:ascii="仿宋" w:hAnsi="仿宋" w:eastAsia="仿宋" w:cs="仿宋"/>
          <w:lang w:val="zh-CN"/>
        </w:rPr>
      </w:pPr>
    </w:p>
    <w:p>
      <w:pPr>
        <w:spacing w:line="360" w:lineRule="auto"/>
        <w:rPr>
          <w:rFonts w:hint="eastAsia" w:ascii="仿宋" w:hAnsi="仿宋" w:eastAsia="仿宋" w:cs="仿宋"/>
          <w:color w:val="000000"/>
        </w:rPr>
      </w:pPr>
      <w:bookmarkStart w:id="32" w:name="_GoBack"/>
      <w:bookmarkEnd w:id="32"/>
    </w:p>
    <w:p>
      <w:pPr>
        <w:spacing w:line="360" w:lineRule="auto"/>
        <w:rPr>
          <w:rFonts w:hint="eastAsia" w:ascii="仿宋" w:hAnsi="仿宋" w:eastAsia="仿宋" w:cs="仿宋"/>
          <w:b/>
          <w:sz w:val="28"/>
          <w:szCs w:val="28"/>
        </w:rPr>
      </w:pPr>
    </w:p>
    <w:p>
      <w:pPr>
        <w:pStyle w:val="2"/>
        <w:keepNext w:val="0"/>
        <w:jc w:val="center"/>
        <w:rPr>
          <w:rFonts w:hint="eastAsia" w:ascii="仿宋" w:hAnsi="仿宋" w:eastAsia="仿宋" w:cs="仿宋"/>
        </w:rPr>
      </w:pPr>
      <w:bookmarkStart w:id="2" w:name="_Toc14130"/>
      <w:r>
        <w:rPr>
          <w:rFonts w:hint="eastAsia" w:ascii="仿宋" w:hAnsi="仿宋" w:eastAsia="仿宋" w:cs="仿宋"/>
        </w:rPr>
        <w:t>一、总      则</w:t>
      </w:r>
      <w:bookmarkEnd w:id="2"/>
    </w:p>
    <w:p>
      <w:pPr>
        <w:spacing w:line="360" w:lineRule="auto"/>
        <w:rPr>
          <w:rFonts w:hint="eastAsia" w:ascii="仿宋" w:hAnsi="仿宋" w:eastAsia="仿宋" w:cs="仿宋"/>
          <w:color w:val="000000"/>
        </w:rPr>
      </w:pPr>
      <w:r>
        <w:rPr>
          <w:rFonts w:hint="eastAsia" w:ascii="仿宋" w:hAnsi="仿宋" w:eastAsia="仿宋" w:cs="仿宋"/>
        </w:rPr>
        <w:t xml:space="preserve">      </w:t>
      </w:r>
      <w:r>
        <w:rPr>
          <w:rFonts w:hint="eastAsia" w:ascii="仿宋" w:hAnsi="仿宋" w:eastAsia="仿宋" w:cs="仿宋"/>
          <w:sz w:val="24"/>
        </w:rPr>
        <w:t xml:space="preserve"> 根据</w:t>
      </w:r>
      <w:r>
        <w:rPr>
          <w:rFonts w:hint="eastAsia" w:ascii="仿宋" w:hAnsi="仿宋" w:eastAsia="仿宋" w:cs="仿宋"/>
          <w:color w:val="000000"/>
          <w:sz w:val="24"/>
        </w:rPr>
        <w:t>中建五局安徽分公司淮北</w:t>
      </w:r>
      <w:r>
        <w:rPr>
          <w:rFonts w:hint="eastAsia" w:ascii="仿宋" w:hAnsi="仿宋" w:eastAsia="仿宋" w:cs="仿宋"/>
          <w:color w:val="000000"/>
          <w:sz w:val="24"/>
          <w:lang w:val="en-US" w:eastAsia="zh-CN"/>
        </w:rPr>
        <w:t>师范大学信息学院一期</w:t>
      </w:r>
      <w:r>
        <w:rPr>
          <w:rFonts w:hint="eastAsia" w:ascii="仿宋" w:hAnsi="仿宋" w:eastAsia="仿宋" w:cs="仿宋"/>
          <w:color w:val="000000"/>
          <w:sz w:val="24"/>
        </w:rPr>
        <w:t>工程建设的需要</w:t>
      </w:r>
      <w:r>
        <w:rPr>
          <w:rFonts w:hint="eastAsia" w:ascii="仿宋" w:hAnsi="仿宋" w:eastAsia="仿宋" w:cs="仿宋"/>
          <w:color w:val="000000"/>
        </w:rPr>
        <w:t>，及五局对主材采购必须在“云筑网集中采购网络交易平台”的要求，诚邀有合作意愿的、具备独立法人资格的、具有良好履约能力的、具有国家或地方行业主管部门颁发的含有允许招标物资生产销售专业资质的生产企业销售企业参与网络平台公开招标。</w:t>
      </w:r>
    </w:p>
    <w:p>
      <w:pPr>
        <w:pStyle w:val="8"/>
        <w:spacing w:line="360" w:lineRule="auto"/>
        <w:ind w:firstLine="0" w:firstLineChars="0"/>
        <w:rPr>
          <w:rFonts w:hint="eastAsia" w:ascii="仿宋" w:hAnsi="仿宋" w:eastAsia="仿宋" w:cs="仿宋"/>
          <w:b/>
          <w:sz w:val="28"/>
          <w:szCs w:val="28"/>
        </w:rPr>
      </w:pPr>
      <w:r>
        <w:rPr>
          <w:rFonts w:hint="eastAsia" w:ascii="仿宋" w:hAnsi="仿宋" w:eastAsia="仿宋" w:cs="仿宋"/>
          <w:b/>
          <w:sz w:val="28"/>
          <w:szCs w:val="28"/>
        </w:rPr>
        <w:t xml:space="preserve">                 </w:t>
      </w:r>
    </w:p>
    <w:p>
      <w:pPr>
        <w:pStyle w:val="8"/>
        <w:spacing w:line="360" w:lineRule="auto"/>
        <w:ind w:firstLine="0" w:firstLineChars="0"/>
        <w:rPr>
          <w:rFonts w:hint="eastAsia" w:ascii="仿宋" w:hAnsi="仿宋" w:eastAsia="仿宋" w:cs="仿宋"/>
          <w:b/>
          <w:sz w:val="28"/>
          <w:szCs w:val="28"/>
        </w:rPr>
      </w:pPr>
    </w:p>
    <w:p>
      <w:pPr>
        <w:pStyle w:val="8"/>
        <w:spacing w:line="360" w:lineRule="auto"/>
        <w:ind w:firstLine="0" w:firstLineChars="0"/>
        <w:rPr>
          <w:rFonts w:hint="eastAsia" w:ascii="仿宋" w:hAnsi="仿宋" w:eastAsia="仿宋" w:cs="仿宋"/>
          <w:b/>
          <w:sz w:val="28"/>
          <w:szCs w:val="28"/>
        </w:rPr>
      </w:pPr>
    </w:p>
    <w:p>
      <w:pPr>
        <w:pStyle w:val="8"/>
        <w:spacing w:line="360" w:lineRule="auto"/>
        <w:ind w:firstLine="0" w:firstLineChars="0"/>
        <w:rPr>
          <w:rFonts w:hint="eastAsia" w:ascii="仿宋" w:hAnsi="仿宋" w:eastAsia="仿宋" w:cs="仿宋"/>
          <w:b/>
          <w:sz w:val="28"/>
          <w:szCs w:val="28"/>
        </w:rPr>
      </w:pPr>
    </w:p>
    <w:p>
      <w:pPr>
        <w:pStyle w:val="8"/>
        <w:spacing w:line="360" w:lineRule="auto"/>
        <w:ind w:firstLine="0" w:firstLineChars="0"/>
        <w:rPr>
          <w:rFonts w:hint="eastAsia" w:ascii="仿宋" w:hAnsi="仿宋" w:eastAsia="仿宋" w:cs="仿宋"/>
          <w:b/>
          <w:sz w:val="28"/>
          <w:szCs w:val="28"/>
        </w:rPr>
      </w:pPr>
    </w:p>
    <w:p>
      <w:pPr>
        <w:pStyle w:val="8"/>
        <w:spacing w:line="360" w:lineRule="auto"/>
        <w:ind w:firstLine="0" w:firstLineChars="0"/>
        <w:rPr>
          <w:rFonts w:hint="eastAsia" w:ascii="仿宋" w:hAnsi="仿宋" w:eastAsia="仿宋" w:cs="仿宋"/>
          <w:b/>
          <w:sz w:val="28"/>
          <w:szCs w:val="28"/>
        </w:rPr>
      </w:pPr>
    </w:p>
    <w:p>
      <w:pPr>
        <w:pStyle w:val="8"/>
        <w:spacing w:line="360" w:lineRule="auto"/>
        <w:ind w:firstLine="0" w:firstLineChars="0"/>
        <w:rPr>
          <w:rFonts w:hint="eastAsia" w:ascii="仿宋" w:hAnsi="仿宋" w:eastAsia="仿宋" w:cs="仿宋"/>
          <w:b/>
          <w:sz w:val="28"/>
          <w:szCs w:val="28"/>
        </w:rPr>
      </w:pPr>
    </w:p>
    <w:p>
      <w:pPr>
        <w:pStyle w:val="8"/>
        <w:spacing w:line="360" w:lineRule="auto"/>
        <w:ind w:firstLine="0" w:firstLineChars="0"/>
        <w:rPr>
          <w:rFonts w:hint="eastAsia" w:ascii="仿宋" w:hAnsi="仿宋" w:eastAsia="仿宋" w:cs="仿宋"/>
          <w:b/>
          <w:sz w:val="28"/>
          <w:szCs w:val="28"/>
        </w:rPr>
      </w:pPr>
    </w:p>
    <w:p>
      <w:pPr>
        <w:pStyle w:val="2"/>
        <w:keepNext w:val="0"/>
        <w:jc w:val="center"/>
        <w:rPr>
          <w:rFonts w:hint="eastAsia" w:ascii="仿宋" w:hAnsi="仿宋" w:eastAsia="仿宋" w:cs="仿宋"/>
        </w:rPr>
      </w:pPr>
      <w:bookmarkStart w:id="3" w:name="_Toc20421"/>
      <w:r>
        <w:rPr>
          <w:rFonts w:hint="eastAsia" w:ascii="仿宋" w:hAnsi="仿宋" w:eastAsia="仿宋" w:cs="仿宋"/>
        </w:rPr>
        <w:t>二、投标人须知</w:t>
      </w:r>
      <w:bookmarkEnd w:id="3"/>
    </w:p>
    <w:p>
      <w:pPr>
        <w:pStyle w:val="8"/>
        <w:spacing w:line="360" w:lineRule="auto"/>
        <w:ind w:left="720" w:firstLine="0" w:firstLineChars="0"/>
        <w:rPr>
          <w:rFonts w:hint="eastAsia" w:ascii="仿宋" w:hAnsi="仿宋" w:eastAsia="仿宋" w:cs="仿宋"/>
          <w:b/>
        </w:rPr>
      </w:pPr>
    </w:p>
    <w:tbl>
      <w:tblPr>
        <w:tblStyle w:val="6"/>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9" w:type="dxa"/>
          </w:tcPr>
          <w:p>
            <w:pPr>
              <w:spacing w:line="360" w:lineRule="auto"/>
              <w:jc w:val="center"/>
              <w:rPr>
                <w:rFonts w:hint="eastAsia" w:ascii="仿宋" w:hAnsi="仿宋" w:eastAsia="仿宋" w:cs="仿宋"/>
              </w:rPr>
            </w:pPr>
            <w:r>
              <w:rPr>
                <w:rFonts w:hint="eastAsia" w:ascii="仿宋" w:hAnsi="仿宋" w:eastAsia="仿宋" w:cs="仿宋"/>
              </w:rPr>
              <w:t>类别</w:t>
            </w:r>
          </w:p>
        </w:tc>
        <w:tc>
          <w:tcPr>
            <w:tcW w:w="6817" w:type="dxa"/>
          </w:tcPr>
          <w:p>
            <w:pPr>
              <w:spacing w:line="360" w:lineRule="auto"/>
              <w:jc w:val="center"/>
              <w:rPr>
                <w:rFonts w:hint="eastAsia" w:ascii="仿宋" w:hAnsi="仿宋" w:eastAsia="仿宋" w:cs="仿宋"/>
              </w:rPr>
            </w:pPr>
            <w:r>
              <w:rPr>
                <w:rFonts w:hint="eastAsia" w:ascii="仿宋" w:hAnsi="仿宋" w:eastAsia="仿宋" w:cs="仿宋"/>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949" w:type="dxa"/>
          </w:tcPr>
          <w:p>
            <w:pPr>
              <w:spacing w:line="360" w:lineRule="auto"/>
              <w:rPr>
                <w:rFonts w:hint="eastAsia" w:ascii="仿宋" w:hAnsi="仿宋" w:eastAsia="仿宋" w:cs="仿宋"/>
                <w:color w:val="000000"/>
              </w:rPr>
            </w:pPr>
            <w:r>
              <w:rPr>
                <w:rFonts w:hint="eastAsia" w:ascii="仿宋" w:hAnsi="仿宋" w:eastAsia="仿宋" w:cs="仿宋"/>
                <w:color w:val="000000"/>
              </w:rPr>
              <w:t>2.1、使用项目</w:t>
            </w:r>
          </w:p>
        </w:tc>
        <w:tc>
          <w:tcPr>
            <w:tcW w:w="6817" w:type="dxa"/>
          </w:tcPr>
          <w:p>
            <w:pPr>
              <w:spacing w:line="360" w:lineRule="auto"/>
              <w:rPr>
                <w:rFonts w:hint="eastAsia" w:ascii="仿宋" w:hAnsi="仿宋" w:eastAsia="仿宋" w:cs="仿宋"/>
                <w:color w:val="0000FF"/>
                <w:lang w:val="en-US" w:eastAsia="zh-CN"/>
              </w:rPr>
            </w:pPr>
            <w:r>
              <w:rPr>
                <w:rFonts w:hint="eastAsia" w:ascii="仿宋" w:hAnsi="仿宋" w:eastAsia="仿宋" w:cs="仿宋"/>
                <w:sz w:val="24"/>
                <w:szCs w:val="24"/>
              </w:rPr>
              <w:t>淮北师范大学信息学院新校区一期工程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9" w:type="dxa"/>
          </w:tcPr>
          <w:p>
            <w:pPr>
              <w:spacing w:line="360" w:lineRule="auto"/>
              <w:rPr>
                <w:rFonts w:hint="eastAsia" w:ascii="仿宋" w:hAnsi="仿宋" w:eastAsia="仿宋" w:cs="仿宋"/>
              </w:rPr>
            </w:pPr>
            <w:r>
              <w:rPr>
                <w:rFonts w:hint="eastAsia" w:ascii="仿宋" w:hAnsi="仿宋" w:eastAsia="仿宋" w:cs="仿宋"/>
              </w:rPr>
              <w:t>2.2、项目地点</w:t>
            </w:r>
          </w:p>
        </w:tc>
        <w:tc>
          <w:tcPr>
            <w:tcW w:w="6817" w:type="dxa"/>
          </w:tcPr>
          <w:p>
            <w:pPr>
              <w:spacing w:line="360" w:lineRule="auto"/>
              <w:rPr>
                <w:rFonts w:hint="eastAsia" w:ascii="仿宋" w:hAnsi="仿宋" w:eastAsia="仿宋" w:cs="仿宋"/>
                <w:color w:val="0000FF"/>
                <w:lang w:val="en-US" w:eastAsia="zh-CN"/>
              </w:rPr>
            </w:pPr>
            <w:r>
              <w:rPr>
                <w:rFonts w:hint="eastAsia" w:ascii="仿宋" w:hAnsi="仿宋" w:eastAsia="仿宋" w:cs="仿宋"/>
                <w:sz w:val="24"/>
                <w:szCs w:val="24"/>
              </w:rPr>
              <w:t>淮北市杜集区龙山北路与青年路交口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2.3、工程概况</w:t>
            </w:r>
          </w:p>
        </w:tc>
        <w:tc>
          <w:tcPr>
            <w:tcW w:w="6817" w:type="dxa"/>
          </w:tcPr>
          <w:p>
            <w:pPr>
              <w:widowControl w:val="0"/>
              <w:autoSpaceDE w:val="0"/>
              <w:autoSpaceDN w:val="0"/>
              <w:adjustRightInd w:val="0"/>
              <w:spacing w:line="360" w:lineRule="auto"/>
              <w:jc w:val="both"/>
              <w:rPr>
                <w:rFonts w:hint="eastAsia" w:ascii="仿宋" w:hAnsi="仿宋" w:eastAsia="宋体" w:cs="仿宋"/>
                <w:color w:val="0000FF"/>
                <w:lang w:eastAsia="zh-CN"/>
              </w:rPr>
            </w:pPr>
            <w:r>
              <w:rPr>
                <w:rFonts w:hint="eastAsia" w:ascii="仿宋" w:hAnsi="仿宋" w:eastAsia="仿宋" w:cs="仿宋"/>
                <w:sz w:val="24"/>
                <w:szCs w:val="24"/>
              </w:rPr>
              <w:t>本工程位于安徽省淮北市青年路北，岱河路东，结构形式为框架结构。总建筑面积约6.77万㎡，包括四栋实训楼及一栋师生活动中心，其中四栋实训楼层数为6F、师生活动中心层数为1F</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949" w:type="dxa"/>
          </w:tcPr>
          <w:p>
            <w:pPr>
              <w:autoSpaceDN w:val="0"/>
              <w:spacing w:line="360" w:lineRule="auto"/>
              <w:rPr>
                <w:rFonts w:hint="eastAsia" w:ascii="仿宋" w:hAnsi="仿宋" w:eastAsia="仿宋" w:cs="仿宋"/>
              </w:rPr>
            </w:pPr>
            <w:r>
              <w:rPr>
                <w:rFonts w:hint="eastAsia" w:ascii="仿宋" w:hAnsi="仿宋" w:eastAsia="仿宋" w:cs="仿宋"/>
              </w:rPr>
              <w:t>2.4、招标内容、数量</w:t>
            </w:r>
          </w:p>
        </w:tc>
        <w:tc>
          <w:tcPr>
            <w:tcW w:w="6817" w:type="dxa"/>
          </w:tcPr>
          <w:p>
            <w:pPr>
              <w:autoSpaceDN w:val="0"/>
              <w:spacing w:line="480" w:lineRule="exact"/>
              <w:rPr>
                <w:rFonts w:hint="eastAsia" w:ascii="仿宋" w:hAnsi="仿宋" w:eastAsia="仿宋" w:cs="仿宋"/>
                <w:sz w:val="24"/>
                <w:lang w:val="en-US" w:eastAsia="zh-CN"/>
              </w:rPr>
            </w:pPr>
            <w:r>
              <w:rPr>
                <w:rFonts w:hint="eastAsia" w:ascii="仿宋" w:hAnsi="仿宋" w:eastAsia="仿宋" w:cs="仿宋"/>
                <w:sz w:val="24"/>
              </w:rPr>
              <w:t>内容：</w:t>
            </w:r>
            <w:r>
              <w:rPr>
                <w:rFonts w:hint="eastAsia" w:ascii="仿宋" w:hAnsi="仿宋" w:eastAsia="仿宋" w:cs="仿宋"/>
                <w:sz w:val="24"/>
                <w:highlight w:val="yellow"/>
                <w:lang w:val="en-US" w:eastAsia="zh-CN"/>
              </w:rPr>
              <w:t>预拌砂浆采购</w:t>
            </w:r>
          </w:p>
          <w:p>
            <w:pPr>
              <w:autoSpaceDN w:val="0"/>
              <w:spacing w:line="360" w:lineRule="auto"/>
              <w:rPr>
                <w:rFonts w:hint="eastAsia" w:ascii="仿宋" w:hAnsi="仿宋" w:eastAsia="仿宋" w:cs="仿宋"/>
                <w:color w:val="0000FF"/>
              </w:rPr>
            </w:pPr>
            <w:r>
              <w:rPr>
                <w:rFonts w:hint="eastAsia" w:ascii="仿宋" w:hAnsi="仿宋" w:eastAsia="仿宋" w:cs="仿宋"/>
                <w:sz w:val="24"/>
              </w:rPr>
              <w:t>数量：见</w:t>
            </w:r>
            <w:r>
              <w:rPr>
                <w:rFonts w:hint="eastAsia" w:ascii="仿宋" w:hAnsi="仿宋" w:eastAsia="仿宋" w:cs="仿宋"/>
                <w:color w:val="000000"/>
                <w:sz w:val="24"/>
              </w:rPr>
              <w:t>招标物资明细表清单（附件1）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949" w:type="dxa"/>
          </w:tcPr>
          <w:p>
            <w:pPr>
              <w:spacing w:line="360" w:lineRule="auto"/>
              <w:ind w:left="1080" w:hanging="1080" w:hangingChars="450"/>
              <w:rPr>
                <w:rFonts w:hint="eastAsia" w:ascii="仿宋" w:hAnsi="仿宋" w:eastAsia="仿宋" w:cs="仿宋"/>
              </w:rPr>
            </w:pPr>
            <w:r>
              <w:rPr>
                <w:rFonts w:hint="eastAsia" w:ascii="仿宋" w:hAnsi="仿宋" w:eastAsia="仿宋" w:cs="仿宋"/>
              </w:rPr>
              <w:t>2.5、质量要求及验收方法</w:t>
            </w:r>
          </w:p>
        </w:tc>
        <w:tc>
          <w:tcPr>
            <w:tcW w:w="6817" w:type="dxa"/>
            <w:vAlign w:val="center"/>
          </w:tcPr>
          <w:p>
            <w:pPr>
              <w:spacing w:line="360" w:lineRule="auto"/>
              <w:rPr>
                <w:rFonts w:hint="eastAsia" w:ascii="仿宋" w:hAnsi="仿宋" w:eastAsia="仿宋" w:cs="仿宋"/>
                <w:color w:val="auto"/>
              </w:rPr>
            </w:pPr>
            <w:r>
              <w:rPr>
                <w:rFonts w:hint="eastAsia" w:ascii="仿宋" w:hAnsi="仿宋" w:eastAsia="仿宋" w:cs="仿宋"/>
                <w:color w:val="auto"/>
              </w:rPr>
              <w:t>1、质量要求：见合同文本</w:t>
            </w:r>
          </w:p>
          <w:p>
            <w:pPr>
              <w:spacing w:line="360" w:lineRule="auto"/>
              <w:rPr>
                <w:rFonts w:hint="eastAsia" w:ascii="仿宋" w:hAnsi="仿宋" w:eastAsia="仿宋" w:cs="仿宋"/>
                <w:color w:val="auto"/>
              </w:rPr>
            </w:pPr>
            <w:r>
              <w:rPr>
                <w:rFonts w:hint="eastAsia" w:ascii="仿宋" w:hAnsi="仿宋" w:eastAsia="仿宋" w:cs="仿宋"/>
                <w:color w:val="auto"/>
              </w:rPr>
              <w:t>2、验收方法：见合同文本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2.6、招标方式</w:t>
            </w:r>
          </w:p>
        </w:tc>
        <w:tc>
          <w:tcPr>
            <w:tcW w:w="6817" w:type="dxa"/>
          </w:tcPr>
          <w:p>
            <w:pPr>
              <w:rPr>
                <w:rFonts w:hint="eastAsia" w:ascii="仿宋" w:hAnsi="仿宋" w:eastAsia="仿宋" w:cs="仿宋"/>
                <w:color w:val="auto"/>
              </w:rPr>
            </w:pPr>
            <w:r>
              <w:rPr>
                <w:rFonts w:hint="eastAsia" w:ascii="仿宋" w:hAnsi="仿宋" w:eastAsia="仿宋" w:cs="仿宋"/>
                <w:color w:val="auto"/>
              </w:rPr>
              <w:t>在</w:t>
            </w:r>
            <w:bookmarkStart w:id="4" w:name="_Hlk11741978"/>
            <w:r>
              <w:rPr>
                <w:rFonts w:hint="eastAsia" w:ascii="仿宋" w:hAnsi="仿宋" w:eastAsia="仿宋" w:cs="仿宋"/>
                <w:color w:val="auto"/>
              </w:rPr>
              <w:t>“</w:t>
            </w:r>
            <w:bookmarkStart w:id="5" w:name="_Hlk11741712"/>
            <w:r>
              <w:rPr>
                <w:rFonts w:hint="eastAsia" w:ascii="仿宋" w:hAnsi="仿宋" w:eastAsia="仿宋" w:cs="仿宋"/>
                <w:color w:val="auto"/>
              </w:rPr>
              <w:t>云筑网集中采购网络交易平台</w:t>
            </w:r>
            <w:bookmarkEnd w:id="5"/>
            <w:r>
              <w:rPr>
                <w:rFonts w:hint="eastAsia" w:ascii="仿宋" w:hAnsi="仿宋" w:eastAsia="仿宋" w:cs="仿宋"/>
                <w:color w:val="auto"/>
              </w:rPr>
              <w:t>”</w:t>
            </w:r>
            <w:bookmarkEnd w:id="4"/>
            <w:r>
              <w:rPr>
                <w:rFonts w:hint="eastAsia" w:ascii="仿宋" w:hAnsi="仿宋" w:eastAsia="仿宋" w:cs="仿宋"/>
                <w:color w:val="auto"/>
              </w:rPr>
              <w:t xml:space="preserve"> 上公开招标。</w:t>
            </w:r>
          </w:p>
          <w:p>
            <w:pPr>
              <w:spacing w:line="360" w:lineRule="auto"/>
              <w:rPr>
                <w:rFonts w:hint="eastAsia" w:ascii="仿宋" w:hAnsi="仿宋" w:eastAsia="仿宋" w:cs="仿宋"/>
                <w:color w:val="auto"/>
              </w:rPr>
            </w:pPr>
            <w:r>
              <w:rPr>
                <w:rFonts w:hint="eastAsia" w:ascii="仿宋" w:hAnsi="仿宋" w:eastAsia="仿宋" w:cs="仿宋"/>
                <w:color w:val="auto"/>
              </w:rPr>
              <w:t>网址：https://www.yzw.cn/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2.7、 投标保证金</w:t>
            </w:r>
          </w:p>
        </w:tc>
        <w:tc>
          <w:tcPr>
            <w:tcW w:w="6817" w:type="dxa"/>
          </w:tcPr>
          <w:p>
            <w:pPr>
              <w:spacing w:line="360" w:lineRule="auto"/>
              <w:ind w:firstLine="480" w:firstLineChars="200"/>
              <w:rPr>
                <w:rFonts w:hint="eastAsia" w:ascii="仿宋" w:hAnsi="仿宋" w:eastAsia="仿宋" w:cs="仿宋"/>
                <w:color w:val="auto"/>
              </w:rPr>
            </w:pPr>
            <w:r>
              <w:rPr>
                <w:rFonts w:hint="eastAsia" w:ascii="仿宋" w:hAnsi="仿宋" w:eastAsia="仿宋" w:cs="仿宋"/>
                <w:color w:val="000000"/>
                <w:sz w:val="24"/>
              </w:rPr>
              <w:t>凡经资格审查合格的供应商须交纳人民币</w:t>
            </w:r>
            <w:r>
              <w:rPr>
                <w:rFonts w:hint="eastAsia" w:ascii="仿宋" w:hAnsi="仿宋" w:eastAsia="仿宋" w:cs="仿宋"/>
                <w:color w:val="FF0000"/>
                <w:sz w:val="24"/>
                <w:u w:val="single"/>
                <w:lang w:val="en-US" w:eastAsia="zh-CN"/>
              </w:rPr>
              <w:t>伍万</w:t>
            </w:r>
            <w:r>
              <w:rPr>
                <w:rFonts w:hint="eastAsia" w:ascii="仿宋" w:hAnsi="仿宋" w:eastAsia="仿宋" w:cs="仿宋"/>
                <w:color w:val="000000"/>
                <w:sz w:val="24"/>
              </w:rPr>
              <w:t>元整作为投标保证金，中标者自动转为履约保证金。未中标者，投标保证金将在发布定标通知后</w:t>
            </w:r>
            <w:r>
              <w:rPr>
                <w:rFonts w:hint="eastAsia" w:ascii="仿宋" w:hAnsi="仿宋" w:eastAsia="仿宋" w:cs="仿宋"/>
                <w:color w:val="000000"/>
                <w:sz w:val="24"/>
                <w:lang w:val="en-US" w:eastAsia="zh-CN"/>
              </w:rPr>
              <w:t>20</w:t>
            </w:r>
            <w:r>
              <w:rPr>
                <w:rFonts w:hint="eastAsia" w:ascii="仿宋" w:hAnsi="仿宋" w:eastAsia="仿宋" w:cs="仿宋"/>
                <w:color w:val="000000"/>
                <w:sz w:val="24"/>
              </w:rPr>
              <w:t>个工作日内无息退还（凭收据）。未按时投标者或中标不能按承诺签订合同者，不予退还投标保证金。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2.8、 投标截止时间</w:t>
            </w:r>
          </w:p>
        </w:tc>
        <w:tc>
          <w:tcPr>
            <w:tcW w:w="6817" w:type="dxa"/>
          </w:tcPr>
          <w:p>
            <w:pPr>
              <w:spacing w:line="360" w:lineRule="auto"/>
              <w:rPr>
                <w:rFonts w:hint="eastAsia" w:ascii="仿宋" w:hAnsi="仿宋" w:eastAsia="仿宋" w:cs="仿宋"/>
                <w:color w:val="0000FF"/>
              </w:rPr>
            </w:pPr>
            <w:r>
              <w:rPr>
                <w:rFonts w:hint="eastAsia" w:ascii="仿宋" w:hAnsi="仿宋" w:eastAsia="仿宋" w:cs="仿宋"/>
                <w:color w:val="0000FF"/>
              </w:rPr>
              <w:t xml:space="preserve"> </w:t>
            </w:r>
            <w:r>
              <w:rPr>
                <w:rFonts w:hint="eastAsia" w:ascii="仿宋" w:hAnsi="仿宋" w:eastAsia="仿宋" w:cs="仿宋"/>
                <w:color w:val="0000FF"/>
                <w:highlight w:val="yellow"/>
              </w:rPr>
              <w:t xml:space="preserve"> </w:t>
            </w:r>
            <w:r>
              <w:rPr>
                <w:rFonts w:hint="eastAsia" w:ascii="仿宋" w:hAnsi="仿宋" w:eastAsia="仿宋" w:cs="仿宋"/>
                <w:color w:val="000000"/>
                <w:sz w:val="24"/>
                <w:highlight w:val="yellow"/>
                <w:lang w:eastAsia="zh-CN"/>
              </w:rPr>
              <w:t>20</w:t>
            </w:r>
            <w:r>
              <w:rPr>
                <w:rFonts w:hint="eastAsia" w:ascii="仿宋" w:hAnsi="仿宋" w:eastAsia="仿宋" w:cs="仿宋"/>
                <w:color w:val="000000"/>
                <w:sz w:val="24"/>
                <w:highlight w:val="yellow"/>
                <w:lang w:val="en-US" w:eastAsia="zh-CN"/>
              </w:rPr>
              <w:t>20</w:t>
            </w:r>
            <w:r>
              <w:rPr>
                <w:rFonts w:hint="eastAsia" w:ascii="仿宋" w:hAnsi="仿宋" w:eastAsia="仿宋" w:cs="仿宋"/>
                <w:color w:val="000000"/>
                <w:sz w:val="24"/>
                <w:highlight w:val="yellow"/>
                <w:lang w:eastAsia="zh-CN"/>
              </w:rPr>
              <w:t>年</w:t>
            </w:r>
            <w:r>
              <w:rPr>
                <w:rFonts w:hint="eastAsia" w:ascii="仿宋" w:hAnsi="仿宋" w:eastAsia="仿宋" w:cs="仿宋"/>
                <w:color w:val="000000"/>
                <w:sz w:val="24"/>
                <w:highlight w:val="yellow"/>
                <w:lang w:val="en-US" w:eastAsia="zh-CN"/>
              </w:rPr>
              <w:t>7</w:t>
            </w:r>
            <w:r>
              <w:rPr>
                <w:rFonts w:hint="eastAsia" w:ascii="仿宋" w:hAnsi="仿宋" w:eastAsia="仿宋" w:cs="仿宋"/>
                <w:color w:val="000000"/>
                <w:sz w:val="24"/>
                <w:highlight w:val="yellow"/>
                <w:lang w:eastAsia="zh-CN"/>
              </w:rPr>
              <w:t>月</w:t>
            </w:r>
            <w:r>
              <w:rPr>
                <w:rFonts w:hint="eastAsia" w:ascii="仿宋" w:hAnsi="仿宋" w:eastAsia="仿宋" w:cs="仿宋"/>
                <w:color w:val="000000"/>
                <w:sz w:val="24"/>
                <w:highlight w:val="yellow"/>
                <w:lang w:val="en-US" w:eastAsia="zh-CN"/>
              </w:rPr>
              <w:t>15</w:t>
            </w:r>
            <w:r>
              <w:rPr>
                <w:rFonts w:hint="eastAsia" w:ascii="仿宋" w:hAnsi="仿宋" w:eastAsia="仿宋" w:cs="仿宋"/>
                <w:color w:val="000000"/>
                <w:sz w:val="24"/>
                <w:highlight w:val="yellow"/>
                <w:lang w:eastAsia="zh-CN"/>
              </w:rPr>
              <w:t>日</w:t>
            </w:r>
            <w:r>
              <w:rPr>
                <w:rFonts w:hint="eastAsia" w:ascii="仿宋" w:hAnsi="仿宋" w:eastAsia="仿宋" w:cs="仿宋"/>
                <w:color w:val="000000"/>
                <w:sz w:val="24"/>
                <w:highlight w:val="yellow"/>
                <w:lang w:val="en-US" w:eastAsia="zh-CN"/>
              </w:rPr>
              <w:t>8</w:t>
            </w:r>
            <w:r>
              <w:rPr>
                <w:rFonts w:hint="eastAsia" w:ascii="仿宋" w:hAnsi="仿宋" w:eastAsia="仿宋" w:cs="仿宋"/>
                <w:color w:val="000000"/>
                <w:sz w:val="24"/>
                <w:highlight w:val="yellow"/>
                <w:lang w:eastAsia="zh-CN"/>
              </w:rPr>
              <w:t>:00</w:t>
            </w:r>
            <w:r>
              <w:rPr>
                <w:rFonts w:hint="eastAsia" w:ascii="仿宋" w:hAnsi="仿宋" w:eastAsia="仿宋" w:cs="仿宋"/>
                <w:color w:val="000000"/>
                <w:sz w:val="24"/>
                <w:highlight w:val="yellow"/>
              </w:rPr>
              <w:t>前（北京时间）</w:t>
            </w:r>
            <w:r>
              <w:rPr>
                <w:rFonts w:hint="eastAsia" w:ascii="仿宋" w:hAnsi="仿宋" w:eastAsia="仿宋" w:cs="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2.9、 开标时间</w:t>
            </w:r>
          </w:p>
        </w:tc>
        <w:tc>
          <w:tcPr>
            <w:tcW w:w="6817" w:type="dxa"/>
          </w:tcPr>
          <w:p>
            <w:pPr>
              <w:spacing w:line="360" w:lineRule="auto"/>
              <w:rPr>
                <w:rFonts w:hint="eastAsia" w:ascii="仿宋" w:hAnsi="仿宋" w:eastAsia="仿宋" w:cs="仿宋"/>
                <w:color w:val="0000FF"/>
              </w:rPr>
            </w:pPr>
            <w:r>
              <w:rPr>
                <w:rFonts w:hint="eastAsia" w:ascii="仿宋" w:hAnsi="仿宋" w:eastAsia="仿宋" w:cs="仿宋"/>
                <w:color w:val="0000FF"/>
              </w:rPr>
              <w:t xml:space="preserve"> </w:t>
            </w:r>
            <w:r>
              <w:rPr>
                <w:rFonts w:hint="eastAsia" w:ascii="仿宋" w:hAnsi="仿宋" w:eastAsia="仿宋" w:cs="仿宋"/>
                <w:color w:val="0000FF"/>
                <w:highlight w:val="yellow"/>
                <w:lang w:val="en-US" w:eastAsia="zh-CN"/>
              </w:rPr>
              <w:t xml:space="preserve"> </w:t>
            </w:r>
            <w:r>
              <w:rPr>
                <w:rFonts w:hint="eastAsia" w:ascii="仿宋" w:hAnsi="仿宋" w:eastAsia="仿宋" w:cs="仿宋"/>
                <w:color w:val="000000"/>
                <w:sz w:val="24"/>
                <w:highlight w:val="yellow"/>
                <w:lang w:eastAsia="zh-CN"/>
              </w:rPr>
              <w:t>20</w:t>
            </w:r>
            <w:r>
              <w:rPr>
                <w:rFonts w:hint="eastAsia" w:ascii="仿宋" w:hAnsi="仿宋" w:eastAsia="仿宋" w:cs="仿宋"/>
                <w:color w:val="000000"/>
                <w:sz w:val="24"/>
                <w:highlight w:val="yellow"/>
                <w:lang w:val="en-US" w:eastAsia="zh-CN"/>
              </w:rPr>
              <w:t>20</w:t>
            </w:r>
            <w:r>
              <w:rPr>
                <w:rFonts w:hint="eastAsia" w:ascii="仿宋" w:hAnsi="仿宋" w:eastAsia="仿宋" w:cs="仿宋"/>
                <w:color w:val="000000"/>
                <w:sz w:val="24"/>
                <w:highlight w:val="yellow"/>
                <w:lang w:eastAsia="zh-CN"/>
              </w:rPr>
              <w:t>年</w:t>
            </w:r>
            <w:r>
              <w:rPr>
                <w:rFonts w:hint="eastAsia" w:ascii="仿宋" w:hAnsi="仿宋" w:eastAsia="仿宋" w:cs="仿宋"/>
                <w:color w:val="000000"/>
                <w:sz w:val="24"/>
                <w:highlight w:val="yellow"/>
                <w:lang w:val="en-US" w:eastAsia="zh-CN"/>
              </w:rPr>
              <w:t>7</w:t>
            </w:r>
            <w:r>
              <w:rPr>
                <w:rFonts w:hint="eastAsia" w:ascii="仿宋" w:hAnsi="仿宋" w:eastAsia="仿宋" w:cs="仿宋"/>
                <w:color w:val="000000"/>
                <w:sz w:val="24"/>
                <w:highlight w:val="yellow"/>
                <w:lang w:eastAsia="zh-CN"/>
              </w:rPr>
              <w:t>月</w:t>
            </w:r>
            <w:r>
              <w:rPr>
                <w:rFonts w:hint="eastAsia" w:ascii="仿宋" w:hAnsi="仿宋" w:eastAsia="仿宋" w:cs="仿宋"/>
                <w:color w:val="000000"/>
                <w:sz w:val="24"/>
                <w:highlight w:val="yellow"/>
                <w:lang w:val="en-US" w:eastAsia="zh-CN"/>
              </w:rPr>
              <w:t>15</w:t>
            </w:r>
            <w:r>
              <w:rPr>
                <w:rFonts w:hint="eastAsia" w:ascii="仿宋" w:hAnsi="仿宋" w:eastAsia="仿宋" w:cs="仿宋"/>
                <w:color w:val="000000"/>
                <w:sz w:val="24"/>
                <w:highlight w:val="yellow"/>
                <w:lang w:eastAsia="zh-CN"/>
              </w:rPr>
              <w:t>日</w:t>
            </w:r>
            <w:r>
              <w:rPr>
                <w:rFonts w:hint="eastAsia" w:ascii="仿宋" w:hAnsi="仿宋" w:eastAsia="仿宋" w:cs="仿宋"/>
                <w:color w:val="000000"/>
                <w:sz w:val="24"/>
                <w:highlight w:val="yellow"/>
                <w:lang w:val="en-US" w:eastAsia="zh-CN"/>
              </w:rPr>
              <w:t>8</w:t>
            </w:r>
            <w:r>
              <w:rPr>
                <w:rFonts w:hint="eastAsia" w:ascii="仿宋" w:hAnsi="仿宋" w:eastAsia="仿宋" w:cs="仿宋"/>
                <w:color w:val="000000"/>
                <w:sz w:val="24"/>
                <w:highlight w:val="yellow"/>
                <w:lang w:eastAsia="zh-CN"/>
              </w:rPr>
              <w:t>:</w:t>
            </w:r>
            <w:r>
              <w:rPr>
                <w:rFonts w:hint="eastAsia" w:ascii="仿宋" w:hAnsi="仿宋" w:eastAsia="仿宋" w:cs="仿宋"/>
                <w:color w:val="000000"/>
                <w:sz w:val="24"/>
                <w:highlight w:val="yellow"/>
                <w:lang w:val="en-US" w:eastAsia="zh-CN"/>
              </w:rPr>
              <w:t>3</w:t>
            </w:r>
            <w:r>
              <w:rPr>
                <w:rFonts w:hint="eastAsia" w:ascii="仿宋" w:hAnsi="仿宋" w:eastAsia="仿宋" w:cs="仿宋"/>
                <w:color w:val="000000"/>
                <w:sz w:val="24"/>
                <w:highlight w:val="yellow"/>
                <w:lang w:eastAsia="zh-CN"/>
              </w:rPr>
              <w:t>0</w:t>
            </w:r>
            <w:r>
              <w:rPr>
                <w:rFonts w:hint="eastAsia" w:ascii="仿宋" w:hAnsi="仿宋" w:eastAsia="仿宋" w:cs="仿宋"/>
                <w:color w:val="000000"/>
                <w:sz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2.10、结算及支付方式</w:t>
            </w:r>
          </w:p>
        </w:tc>
        <w:tc>
          <w:tcPr>
            <w:tcW w:w="6817" w:type="dxa"/>
          </w:tcPr>
          <w:p>
            <w:pPr>
              <w:spacing w:line="360" w:lineRule="auto"/>
              <w:rPr>
                <w:rFonts w:hint="eastAsia" w:ascii="仿宋" w:hAnsi="仿宋" w:eastAsia="仿宋" w:cs="仿宋"/>
                <w:color w:val="0000FF"/>
              </w:rPr>
            </w:pPr>
            <w:r>
              <w:rPr>
                <w:rFonts w:hint="eastAsia" w:ascii="仿宋" w:hAnsi="仿宋" w:eastAsia="仿宋" w:cs="仿宋"/>
                <w:color w:val="0000FF"/>
              </w:rPr>
              <w:t xml:space="preserve"> </w:t>
            </w:r>
            <w:r>
              <w:rPr>
                <w:rFonts w:hint="eastAsia" w:ascii="仿宋" w:hAnsi="仿宋" w:eastAsia="仿宋" w:cs="仿宋"/>
                <w:color w:val="auto"/>
              </w:rPr>
              <w:t xml:space="preserve"> 详情见合同文本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2949" w:type="dxa"/>
          </w:tcPr>
          <w:p>
            <w:pPr>
              <w:spacing w:line="360" w:lineRule="auto"/>
              <w:rPr>
                <w:rFonts w:hint="eastAsia" w:ascii="仿宋" w:hAnsi="仿宋" w:eastAsia="仿宋" w:cs="仿宋"/>
              </w:rPr>
            </w:pPr>
            <w:r>
              <w:rPr>
                <w:rFonts w:hint="eastAsia" w:ascii="仿宋" w:hAnsi="仿宋" w:eastAsia="仿宋" w:cs="仿宋"/>
              </w:rPr>
              <w:t>2.11、招标联系人及电话</w:t>
            </w:r>
          </w:p>
        </w:tc>
        <w:tc>
          <w:tcPr>
            <w:tcW w:w="6817" w:type="dxa"/>
          </w:tcPr>
          <w:p>
            <w:pPr>
              <w:spacing w:line="360" w:lineRule="auto"/>
              <w:rPr>
                <w:rFonts w:hint="eastAsia" w:ascii="仿宋" w:hAnsi="仿宋" w:eastAsia="仿宋" w:cs="仿宋"/>
                <w:color w:val="0000FF"/>
                <w:lang w:val="en-US" w:eastAsia="zh-CN"/>
              </w:rPr>
            </w:pPr>
            <w:r>
              <w:rPr>
                <w:rFonts w:hint="eastAsia" w:ascii="仿宋" w:hAnsi="仿宋" w:eastAsia="仿宋" w:cs="仿宋"/>
                <w:sz w:val="24"/>
                <w:lang w:val="en-US" w:eastAsia="zh-CN"/>
              </w:rPr>
              <w:t xml:space="preserve">韩刚：13195881337 </w:t>
            </w:r>
          </w:p>
        </w:tc>
      </w:tr>
    </w:tbl>
    <w:p>
      <w:pPr>
        <w:pStyle w:val="2"/>
        <w:keepNext w:val="0"/>
        <w:jc w:val="center"/>
        <w:rPr>
          <w:rFonts w:hint="eastAsia" w:ascii="仿宋" w:hAnsi="仿宋" w:eastAsia="仿宋" w:cs="仿宋"/>
        </w:rPr>
      </w:pPr>
    </w:p>
    <w:p>
      <w:pPr>
        <w:pStyle w:val="2"/>
        <w:keepNext w:val="0"/>
        <w:jc w:val="center"/>
        <w:rPr>
          <w:rFonts w:hint="eastAsia" w:ascii="仿宋" w:hAnsi="仿宋" w:eastAsia="仿宋" w:cs="仿宋"/>
        </w:rPr>
      </w:pPr>
    </w:p>
    <w:p>
      <w:pPr>
        <w:pStyle w:val="2"/>
        <w:keepNext w:val="0"/>
        <w:jc w:val="center"/>
        <w:rPr>
          <w:rFonts w:hint="eastAsia" w:ascii="仿宋" w:hAnsi="仿宋" w:eastAsia="仿宋" w:cs="仿宋"/>
        </w:rPr>
      </w:pPr>
    </w:p>
    <w:p>
      <w:pPr>
        <w:pStyle w:val="2"/>
        <w:keepNext w:val="0"/>
        <w:jc w:val="center"/>
        <w:rPr>
          <w:rFonts w:hint="eastAsia" w:ascii="仿宋" w:hAnsi="仿宋" w:eastAsia="仿宋" w:cs="仿宋"/>
        </w:rPr>
      </w:pPr>
      <w:bookmarkStart w:id="6" w:name="_Toc23556"/>
      <w:r>
        <w:rPr>
          <w:rFonts w:hint="eastAsia" w:ascii="仿宋" w:hAnsi="仿宋" w:eastAsia="仿宋" w:cs="仿宋"/>
        </w:rPr>
        <w:t>三、招标文件</w:t>
      </w:r>
      <w:bookmarkEnd w:id="6"/>
    </w:p>
    <w:p>
      <w:pPr>
        <w:pStyle w:val="5"/>
        <w:rPr>
          <w:rFonts w:hint="eastAsia" w:ascii="仿宋" w:hAnsi="仿宋" w:eastAsia="仿宋" w:cs="仿宋"/>
        </w:rPr>
      </w:pPr>
      <w:bookmarkStart w:id="7" w:name="_Toc28179"/>
      <w:r>
        <w:rPr>
          <w:rFonts w:hint="eastAsia" w:ascii="仿宋" w:hAnsi="仿宋" w:eastAsia="仿宋" w:cs="仿宋"/>
        </w:rPr>
        <w:t>3.1、招标文件的组成</w:t>
      </w:r>
      <w:bookmarkEnd w:id="7"/>
    </w:p>
    <w:p>
      <w:pPr>
        <w:spacing w:line="360" w:lineRule="auto"/>
        <w:ind w:firstLine="521"/>
        <w:rPr>
          <w:rFonts w:hint="eastAsia" w:ascii="仿宋" w:hAnsi="仿宋" w:eastAsia="仿宋" w:cs="仿宋"/>
        </w:rPr>
      </w:pPr>
      <w:r>
        <w:rPr>
          <w:rFonts w:hint="eastAsia" w:ascii="仿宋" w:hAnsi="仿宋" w:eastAsia="仿宋" w:cs="仿宋"/>
        </w:rPr>
        <w:t>3.1.1、招标文件除以下内容外，招标人在招标期间所发出的补充通知或修订函件等，均是招标文件的组成部分，对投标人起约束作用；</w:t>
      </w:r>
    </w:p>
    <w:p>
      <w:pPr>
        <w:spacing w:line="360" w:lineRule="auto"/>
        <w:ind w:firstLine="521"/>
        <w:rPr>
          <w:rFonts w:hint="eastAsia" w:ascii="仿宋" w:hAnsi="仿宋" w:eastAsia="仿宋" w:cs="仿宋"/>
        </w:rPr>
      </w:pPr>
      <w:r>
        <w:rPr>
          <w:rFonts w:hint="eastAsia" w:ascii="仿宋" w:hAnsi="仿宋" w:eastAsia="仿宋" w:cs="仿宋"/>
        </w:rPr>
        <w:t>3.1.2、招标文件包括下列内容：</w:t>
      </w:r>
    </w:p>
    <w:p>
      <w:pPr>
        <w:spacing w:line="360" w:lineRule="auto"/>
        <w:ind w:firstLine="960" w:firstLineChars="400"/>
        <w:rPr>
          <w:rFonts w:hint="eastAsia" w:ascii="仿宋" w:hAnsi="仿宋" w:eastAsia="仿宋" w:cs="仿宋"/>
        </w:rPr>
      </w:pPr>
      <w:r>
        <w:rPr>
          <w:rFonts w:hint="eastAsia" w:ascii="仿宋" w:hAnsi="仿宋" w:eastAsia="仿宋" w:cs="仿宋"/>
        </w:rPr>
        <w:t>一、  总则</w:t>
      </w:r>
    </w:p>
    <w:p>
      <w:pPr>
        <w:spacing w:line="360" w:lineRule="auto"/>
        <w:ind w:firstLine="960" w:firstLineChars="400"/>
        <w:rPr>
          <w:rFonts w:hint="eastAsia" w:ascii="仿宋" w:hAnsi="仿宋" w:eastAsia="仿宋" w:cs="仿宋"/>
        </w:rPr>
      </w:pPr>
      <w:r>
        <w:rPr>
          <w:rFonts w:hint="eastAsia" w:ascii="仿宋" w:hAnsi="仿宋" w:eastAsia="仿宋" w:cs="仿宋"/>
        </w:rPr>
        <w:t xml:space="preserve">二、  投标人须知 </w:t>
      </w:r>
    </w:p>
    <w:p>
      <w:pPr>
        <w:spacing w:line="360" w:lineRule="auto"/>
        <w:rPr>
          <w:rFonts w:hint="eastAsia" w:ascii="仿宋" w:hAnsi="仿宋" w:eastAsia="仿宋" w:cs="仿宋"/>
        </w:rPr>
      </w:pPr>
      <w:r>
        <w:rPr>
          <w:rFonts w:hint="eastAsia" w:ascii="仿宋" w:hAnsi="仿宋" w:eastAsia="仿宋" w:cs="仿宋"/>
        </w:rPr>
        <w:t xml:space="preserve">        三、  招标文件</w:t>
      </w:r>
    </w:p>
    <w:p>
      <w:pPr>
        <w:spacing w:line="360" w:lineRule="auto"/>
        <w:rPr>
          <w:rFonts w:hint="eastAsia" w:ascii="仿宋" w:hAnsi="仿宋" w:eastAsia="仿宋" w:cs="仿宋"/>
        </w:rPr>
      </w:pPr>
      <w:r>
        <w:rPr>
          <w:rFonts w:hint="eastAsia" w:ascii="仿宋" w:hAnsi="仿宋" w:eastAsia="仿宋" w:cs="仿宋"/>
        </w:rPr>
        <w:t xml:space="preserve">        四、  投标文件的编制</w:t>
      </w:r>
    </w:p>
    <w:p>
      <w:pPr>
        <w:spacing w:line="360" w:lineRule="auto"/>
        <w:rPr>
          <w:rFonts w:hint="eastAsia" w:ascii="仿宋" w:hAnsi="仿宋" w:eastAsia="仿宋" w:cs="仿宋"/>
        </w:rPr>
      </w:pPr>
      <w:r>
        <w:rPr>
          <w:rFonts w:hint="eastAsia" w:ascii="仿宋" w:hAnsi="仿宋" w:eastAsia="仿宋" w:cs="仿宋"/>
        </w:rPr>
        <w:t xml:space="preserve">        五、  开标、评标和定标</w:t>
      </w:r>
    </w:p>
    <w:p>
      <w:pPr>
        <w:spacing w:line="360" w:lineRule="auto"/>
        <w:rPr>
          <w:rFonts w:hint="eastAsia" w:ascii="仿宋" w:hAnsi="仿宋" w:eastAsia="仿宋" w:cs="仿宋"/>
        </w:rPr>
      </w:pPr>
      <w:r>
        <w:rPr>
          <w:rFonts w:hint="eastAsia" w:ascii="仿宋" w:hAnsi="仿宋" w:eastAsia="仿宋" w:cs="仿宋"/>
        </w:rPr>
        <w:t xml:space="preserve">        六、  合同的授予</w:t>
      </w:r>
    </w:p>
    <w:p>
      <w:pPr>
        <w:spacing w:line="360" w:lineRule="auto"/>
        <w:rPr>
          <w:rFonts w:hint="eastAsia" w:ascii="仿宋" w:hAnsi="仿宋" w:eastAsia="仿宋" w:cs="仿宋"/>
        </w:rPr>
      </w:pPr>
      <w:r>
        <w:rPr>
          <w:rFonts w:hint="eastAsia" w:ascii="仿宋" w:hAnsi="仿宋" w:eastAsia="仿宋" w:cs="仿宋"/>
        </w:rPr>
        <w:t xml:space="preserve">        七、  合同文本</w:t>
      </w:r>
    </w:p>
    <w:p>
      <w:pPr>
        <w:pStyle w:val="9"/>
        <w:rPr>
          <w:rFonts w:hint="eastAsia" w:ascii="仿宋" w:hAnsi="仿宋" w:eastAsia="仿宋" w:cs="仿宋"/>
        </w:rPr>
      </w:pPr>
      <w:bookmarkStart w:id="8" w:name="_Toc10609"/>
      <w:r>
        <w:rPr>
          <w:rFonts w:hint="eastAsia" w:ascii="仿宋" w:hAnsi="仿宋" w:eastAsia="仿宋" w:cs="仿宋"/>
        </w:rPr>
        <w:t>3.2、投标人资格</w:t>
      </w:r>
      <w:bookmarkEnd w:id="8"/>
    </w:p>
    <w:p>
      <w:pPr>
        <w:spacing w:line="360" w:lineRule="auto"/>
        <w:ind w:firstLine="521"/>
        <w:rPr>
          <w:rFonts w:hint="eastAsia" w:ascii="仿宋" w:hAnsi="仿宋" w:eastAsia="仿宋" w:cs="仿宋"/>
        </w:rPr>
      </w:pPr>
      <w:r>
        <w:rPr>
          <w:rFonts w:hint="eastAsia" w:ascii="仿宋" w:hAnsi="仿宋" w:eastAsia="仿宋" w:cs="仿宋"/>
          <w:color w:val="000000"/>
        </w:rPr>
        <w:t>投标人应具有圆满履行合同的能力，具体应符合下列条件：</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3.2.1、投标人必须是具有独立法人资格的生产销售商；</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3.2.2、投标方应具有招标产品的生产制造或销售资质及行业准入资质。</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3.2.3、投标方必须具有五年以上的所招标产品（物资）的生产制造或销售经验，市场占有率省（市）内排名在前；</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3.2.4、注册资金</w:t>
      </w:r>
      <w:r>
        <w:rPr>
          <w:rFonts w:hint="eastAsia" w:ascii="仿宋" w:hAnsi="仿宋" w:eastAsia="仿宋" w:cs="仿宋"/>
          <w:color w:val="000000"/>
          <w:lang w:val="en-US" w:eastAsia="zh-CN"/>
        </w:rPr>
        <w:t>500</w:t>
      </w:r>
      <w:r>
        <w:rPr>
          <w:rFonts w:hint="eastAsia" w:ascii="仿宋" w:hAnsi="仿宋" w:eastAsia="仿宋" w:cs="仿宋"/>
          <w:color w:val="000000"/>
        </w:rPr>
        <w:t>万元以上；</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3.2.5、投标人须能提供良好的售后服务；</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3.2.6、投标人及产品在以往销售中无不良记录并在市场中有良好的信誉；</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3.2.7、投标人及产品已经通过有关部门认证；</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3.2.8、投标人具有完善的质量、安全保证体系；</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3.2.9、具有良好的银行资信和商业信誉，没有处于被责令停业，财产被接管、冻结、破产状态。</w:t>
      </w:r>
    </w:p>
    <w:p>
      <w:pPr>
        <w:autoSpaceDN w:val="0"/>
        <w:spacing w:line="360" w:lineRule="auto"/>
        <w:ind w:firstLine="540"/>
        <w:rPr>
          <w:rFonts w:hint="eastAsia" w:ascii="仿宋" w:hAnsi="仿宋" w:eastAsia="仿宋" w:cs="仿宋"/>
          <w:color w:val="000000"/>
        </w:rPr>
      </w:pPr>
      <w:r>
        <w:rPr>
          <w:rFonts w:hint="eastAsia" w:ascii="仿宋" w:hAnsi="仿宋" w:eastAsia="仿宋" w:cs="仿宋"/>
          <w:color w:val="000000"/>
        </w:rPr>
        <w:t>3.2.10、未与需方发生过法律和其它不良纠纷。</w:t>
      </w:r>
    </w:p>
    <w:p>
      <w:pPr>
        <w:pStyle w:val="9"/>
        <w:rPr>
          <w:rFonts w:hint="eastAsia" w:ascii="仿宋" w:hAnsi="仿宋" w:eastAsia="仿宋" w:cs="仿宋"/>
        </w:rPr>
      </w:pPr>
      <w:bookmarkStart w:id="9" w:name="_Toc8424"/>
      <w:r>
        <w:rPr>
          <w:rFonts w:hint="eastAsia" w:ascii="仿宋" w:hAnsi="仿宋" w:eastAsia="仿宋" w:cs="仿宋"/>
        </w:rPr>
        <w:t>3.3、合格的投标人</w:t>
      </w:r>
      <w:bookmarkEnd w:id="9"/>
    </w:p>
    <w:p>
      <w:pPr>
        <w:spacing w:line="360" w:lineRule="auto"/>
        <w:ind w:firstLine="522"/>
        <w:rPr>
          <w:rFonts w:hint="eastAsia" w:ascii="仿宋" w:hAnsi="仿宋" w:eastAsia="仿宋" w:cs="仿宋"/>
        </w:rPr>
      </w:pPr>
      <w:r>
        <w:rPr>
          <w:rFonts w:hint="eastAsia" w:ascii="仿宋" w:hAnsi="仿宋" w:eastAsia="仿宋" w:cs="仿宋"/>
        </w:rPr>
        <w:t>3.3.1、通过招标人审查，拥有</w:t>
      </w:r>
      <w:r>
        <w:rPr>
          <w:rFonts w:hint="eastAsia" w:ascii="仿宋" w:hAnsi="仿宋" w:eastAsia="仿宋" w:cs="仿宋"/>
          <w:color w:val="000000"/>
        </w:rPr>
        <w:t>“云筑网集中采购网络交易平台”投标资格的投标单位</w:t>
      </w:r>
      <w:r>
        <w:rPr>
          <w:rFonts w:hint="eastAsia" w:ascii="仿宋" w:hAnsi="仿宋" w:eastAsia="仿宋" w:cs="仿宋"/>
        </w:rPr>
        <w:t>；</w:t>
      </w:r>
    </w:p>
    <w:p>
      <w:pPr>
        <w:spacing w:line="360" w:lineRule="auto"/>
        <w:ind w:firstLine="521"/>
        <w:rPr>
          <w:rFonts w:hint="eastAsia" w:ascii="仿宋" w:hAnsi="仿宋" w:eastAsia="仿宋" w:cs="仿宋"/>
        </w:rPr>
      </w:pPr>
      <w:r>
        <w:rPr>
          <w:rFonts w:hint="eastAsia" w:ascii="仿宋" w:hAnsi="仿宋" w:eastAsia="仿宋" w:cs="仿宋"/>
        </w:rPr>
        <w:t>3.3.2、独立法人单位投标，本招标不允许联合体投标。</w:t>
      </w:r>
    </w:p>
    <w:p>
      <w:pPr>
        <w:autoSpaceDN w:val="0"/>
        <w:spacing w:line="360" w:lineRule="auto"/>
        <w:ind w:firstLine="522"/>
        <w:rPr>
          <w:rFonts w:hint="eastAsia" w:ascii="仿宋" w:hAnsi="仿宋" w:eastAsia="仿宋" w:cs="仿宋"/>
          <w:color w:val="000000"/>
          <w:highlight w:val="none"/>
        </w:rPr>
      </w:pPr>
      <w:r>
        <w:rPr>
          <w:rFonts w:hint="eastAsia" w:ascii="仿宋" w:hAnsi="仿宋" w:eastAsia="仿宋" w:cs="仿宋"/>
        </w:rPr>
        <w:t>3.3.2、</w:t>
      </w:r>
      <w:r>
        <w:rPr>
          <w:rFonts w:hint="eastAsia" w:ascii="仿宋" w:hAnsi="仿宋" w:eastAsia="仿宋" w:cs="仿宋"/>
          <w:color w:val="000000"/>
          <w:highlight w:val="none"/>
        </w:rPr>
        <w:t>投标人在中国建筑集中采购网络交易投标平台上下载招标文件之前，已将投标保证金人民币</w:t>
      </w:r>
      <w:r>
        <w:rPr>
          <w:rFonts w:hint="eastAsia" w:ascii="仿宋" w:hAnsi="仿宋" w:eastAsia="仿宋" w:cs="仿宋"/>
          <w:color w:val="5B9BD5" w:themeColor="accent1"/>
          <w:highlight w:val="none"/>
          <w:u w:val="single"/>
          <w:lang w:val="en-US" w:eastAsia="zh-CN"/>
          <w14:textFill>
            <w14:solidFill>
              <w14:schemeClr w14:val="accent1"/>
            </w14:solidFill>
          </w14:textFill>
        </w:rPr>
        <w:t>伍万元整</w:t>
      </w:r>
      <w:r>
        <w:rPr>
          <w:rFonts w:hint="eastAsia" w:ascii="仿宋" w:hAnsi="仿宋" w:eastAsia="仿宋" w:cs="仿宋"/>
          <w:color w:val="5B9BD5" w:themeColor="accent1"/>
          <w:highlight w:val="none"/>
          <w14:textFill>
            <w14:solidFill>
              <w14:schemeClr w14:val="accent1"/>
            </w14:solidFill>
          </w14:textFill>
        </w:rPr>
        <w:t>（￥</w:t>
      </w:r>
      <w:r>
        <w:rPr>
          <w:rFonts w:hint="eastAsia" w:ascii="仿宋" w:hAnsi="仿宋" w:eastAsia="仿宋" w:cs="仿宋"/>
          <w:b/>
          <w:color w:val="5B9BD5" w:themeColor="accent1"/>
          <w:highlight w:val="none"/>
          <w:u w:val="single"/>
          <w:lang w:val="en-US" w:eastAsia="zh-CN"/>
          <w14:textFill>
            <w14:solidFill>
              <w14:schemeClr w14:val="accent1"/>
            </w14:solidFill>
          </w14:textFill>
        </w:rPr>
        <w:t>50000</w:t>
      </w:r>
      <w:r>
        <w:rPr>
          <w:rFonts w:hint="eastAsia" w:ascii="仿宋" w:hAnsi="仿宋" w:eastAsia="仿宋" w:cs="仿宋"/>
          <w:b/>
          <w:color w:val="5B9BD5" w:themeColor="accent1"/>
          <w:highlight w:val="none"/>
          <w14:textFill>
            <w14:solidFill>
              <w14:schemeClr w14:val="accent1"/>
            </w14:solidFill>
          </w14:textFill>
        </w:rPr>
        <w:t>.00</w:t>
      </w:r>
      <w:r>
        <w:rPr>
          <w:rFonts w:hint="eastAsia" w:ascii="仿宋" w:hAnsi="仿宋" w:eastAsia="仿宋" w:cs="仿宋"/>
          <w:color w:val="5B9BD5" w:themeColor="accent1"/>
          <w:highlight w:val="none"/>
          <w14:textFill>
            <w14:solidFill>
              <w14:schemeClr w14:val="accent1"/>
            </w14:solidFill>
          </w14:textFill>
        </w:rPr>
        <w:t>元整</w:t>
      </w:r>
      <w:r>
        <w:rPr>
          <w:rFonts w:hint="eastAsia" w:ascii="仿宋" w:hAnsi="仿宋" w:eastAsia="仿宋" w:cs="仿宋"/>
          <w:color w:val="000000"/>
          <w:highlight w:val="none"/>
        </w:rPr>
        <w:t>），以银行转帐的方式(从投标单位的基本账户转入,不接受现金及其他方式)交至甲方指定账户（见附件3），由财务资金部开具保证金收据的。</w:t>
      </w:r>
    </w:p>
    <w:p>
      <w:pPr>
        <w:autoSpaceDN w:val="0"/>
        <w:spacing w:line="360" w:lineRule="auto"/>
        <w:ind w:firstLine="522"/>
        <w:rPr>
          <w:rFonts w:hint="eastAsia" w:ascii="仿宋" w:hAnsi="仿宋" w:eastAsia="仿宋" w:cs="仿宋"/>
        </w:rPr>
      </w:pPr>
      <w:r>
        <w:rPr>
          <w:rFonts w:hint="eastAsia" w:ascii="仿宋" w:hAnsi="仿宋" w:eastAsia="仿宋" w:cs="仿宋"/>
        </w:rPr>
        <w:t>3.3.4、投标人获得招标文件后，应认真审阅招标文件所有的事项、格式、条款和规范要求等，如有疑问必须及时向招标人提出，如果投标人的投标文件没有按照招标文件要求提交全部资料或投标文件没有对招标文件做出实质性响应，其投标文件有可能成为无效投标文件而失去评标资格。</w:t>
      </w:r>
    </w:p>
    <w:p>
      <w:pPr>
        <w:pStyle w:val="9"/>
        <w:rPr>
          <w:rFonts w:hint="eastAsia" w:ascii="仿宋" w:hAnsi="仿宋" w:eastAsia="仿宋" w:cs="仿宋"/>
        </w:rPr>
      </w:pPr>
      <w:bookmarkStart w:id="10" w:name="_Toc828"/>
      <w:r>
        <w:rPr>
          <w:rFonts w:hint="eastAsia" w:ascii="仿宋" w:hAnsi="仿宋" w:eastAsia="仿宋" w:cs="仿宋"/>
        </w:rPr>
        <w:t>3.4、投标保证金说明：</w:t>
      </w:r>
      <w:bookmarkEnd w:id="10"/>
    </w:p>
    <w:p>
      <w:pPr>
        <w:autoSpaceDN w:val="0"/>
        <w:spacing w:line="360" w:lineRule="auto"/>
        <w:ind w:firstLine="522"/>
        <w:rPr>
          <w:rFonts w:hint="eastAsia" w:ascii="仿宋" w:hAnsi="仿宋" w:eastAsia="仿宋" w:cs="仿宋"/>
          <w:color w:val="000000"/>
        </w:rPr>
      </w:pPr>
      <w:r>
        <w:rPr>
          <w:rFonts w:hint="eastAsia" w:ascii="仿宋" w:hAnsi="仿宋" w:eastAsia="仿宋" w:cs="仿宋"/>
          <w:color w:val="000000"/>
        </w:rPr>
        <w:t>3.4.1、投标人出现以下行为之一，招标人将没收投标人交纳的投标保证金：</w:t>
      </w:r>
    </w:p>
    <w:p>
      <w:pPr>
        <w:autoSpaceDN w:val="0"/>
        <w:spacing w:line="360" w:lineRule="auto"/>
        <w:ind w:firstLine="522"/>
        <w:rPr>
          <w:rFonts w:hint="eastAsia" w:ascii="仿宋" w:hAnsi="仿宋" w:eastAsia="仿宋" w:cs="仿宋"/>
          <w:color w:val="000000"/>
        </w:rPr>
      </w:pPr>
      <w:r>
        <w:rPr>
          <w:rFonts w:hint="eastAsia" w:ascii="仿宋" w:hAnsi="仿宋" w:eastAsia="仿宋" w:cs="仿宋"/>
          <w:color w:val="000000"/>
        </w:rPr>
        <w:t>3.4.1.1、投标人被确定为中标人后放弃中标资格的；</w:t>
      </w:r>
    </w:p>
    <w:p>
      <w:pPr>
        <w:autoSpaceDN w:val="0"/>
        <w:spacing w:line="360" w:lineRule="auto"/>
        <w:ind w:left="-6" w:firstLine="522"/>
        <w:rPr>
          <w:rFonts w:hint="eastAsia" w:ascii="仿宋" w:hAnsi="仿宋" w:eastAsia="仿宋" w:cs="仿宋"/>
          <w:color w:val="000000"/>
        </w:rPr>
      </w:pPr>
      <w:r>
        <w:rPr>
          <w:rFonts w:hint="eastAsia" w:ascii="仿宋" w:hAnsi="仿宋" w:eastAsia="仿宋" w:cs="仿宋"/>
          <w:color w:val="000000"/>
        </w:rPr>
        <w:t>3.4.1.2、投标人收到中标通知书后在规定时间内拒绝与招标人签订供货合同的。</w:t>
      </w:r>
    </w:p>
    <w:p>
      <w:pPr>
        <w:autoSpaceDN w:val="0"/>
        <w:spacing w:line="360" w:lineRule="auto"/>
        <w:ind w:firstLine="522"/>
        <w:rPr>
          <w:rFonts w:hint="eastAsia" w:ascii="仿宋" w:hAnsi="仿宋" w:eastAsia="仿宋" w:cs="仿宋"/>
          <w:color w:val="000000"/>
        </w:rPr>
      </w:pPr>
      <w:r>
        <w:rPr>
          <w:rFonts w:hint="eastAsia" w:ascii="仿宋" w:hAnsi="仿宋" w:eastAsia="仿宋" w:cs="仿宋"/>
          <w:color w:val="000000"/>
        </w:rPr>
        <w:t>3.4.2、未中标单位的投标保证金于定标后</w:t>
      </w:r>
      <w:r>
        <w:rPr>
          <w:rFonts w:hint="eastAsia" w:ascii="仿宋" w:hAnsi="仿宋" w:eastAsia="仿宋" w:cs="仿宋"/>
          <w:b/>
          <w:color w:val="000000"/>
          <w:u w:val="single"/>
        </w:rPr>
        <w:t>20个工作日</w:t>
      </w:r>
      <w:r>
        <w:rPr>
          <w:rFonts w:hint="eastAsia" w:ascii="仿宋" w:hAnsi="仿宋" w:eastAsia="仿宋" w:cs="仿宋"/>
          <w:color w:val="000000"/>
        </w:rPr>
        <w:t>内无息返还，中标单位的投标保证金无息转为履约保证金。</w:t>
      </w:r>
    </w:p>
    <w:p>
      <w:pPr>
        <w:pStyle w:val="9"/>
        <w:rPr>
          <w:rFonts w:hint="eastAsia" w:ascii="仿宋" w:hAnsi="仿宋" w:eastAsia="仿宋" w:cs="仿宋"/>
        </w:rPr>
      </w:pPr>
      <w:bookmarkStart w:id="11" w:name="_Toc29127"/>
      <w:r>
        <w:rPr>
          <w:rFonts w:hint="eastAsia" w:ascii="仿宋" w:hAnsi="仿宋" w:eastAsia="仿宋" w:cs="仿宋"/>
        </w:rPr>
        <w:t>3.5、招标文件的修改</w:t>
      </w:r>
      <w:bookmarkEnd w:id="11"/>
    </w:p>
    <w:p>
      <w:pPr>
        <w:spacing w:line="360" w:lineRule="auto"/>
        <w:ind w:firstLine="521"/>
        <w:rPr>
          <w:rFonts w:hint="eastAsia" w:ascii="仿宋" w:hAnsi="仿宋" w:eastAsia="仿宋" w:cs="仿宋"/>
        </w:rPr>
      </w:pPr>
      <w:r>
        <w:rPr>
          <w:rFonts w:hint="eastAsia" w:ascii="仿宋" w:hAnsi="仿宋" w:eastAsia="仿宋" w:cs="仿宋"/>
        </w:rPr>
        <w:t>3.5.1招标文件发出后，在投标截止日期前2天的任何时候，无论出于何种原因，招标人可主动地对招标文件进行修改。招标文件一经招标人修改，将以修改后的招标文件为准，对投标人产生约束力。</w:t>
      </w:r>
    </w:p>
    <w:p>
      <w:pPr>
        <w:pStyle w:val="2"/>
        <w:keepNext w:val="0"/>
        <w:jc w:val="center"/>
        <w:rPr>
          <w:rFonts w:hint="eastAsia" w:ascii="仿宋" w:hAnsi="仿宋" w:eastAsia="仿宋" w:cs="仿宋"/>
        </w:rPr>
      </w:pPr>
      <w:bookmarkStart w:id="12" w:name="_Toc22145"/>
      <w:r>
        <w:rPr>
          <w:rFonts w:hint="eastAsia" w:ascii="仿宋" w:hAnsi="仿宋" w:eastAsia="仿宋" w:cs="仿宋"/>
        </w:rPr>
        <w:t>四、投标文件的编制</w:t>
      </w:r>
      <w:bookmarkEnd w:id="12"/>
    </w:p>
    <w:p>
      <w:pPr>
        <w:pStyle w:val="9"/>
        <w:rPr>
          <w:rFonts w:hint="eastAsia" w:ascii="仿宋" w:hAnsi="仿宋" w:eastAsia="仿宋" w:cs="仿宋"/>
        </w:rPr>
      </w:pPr>
      <w:bookmarkStart w:id="13" w:name="_Toc1141"/>
      <w:r>
        <w:rPr>
          <w:rFonts w:hint="eastAsia" w:ascii="仿宋" w:hAnsi="仿宋" w:eastAsia="仿宋" w:cs="仿宋"/>
        </w:rPr>
        <w:t>4.1、投标文件的组成</w:t>
      </w:r>
      <w:bookmarkEnd w:id="13"/>
    </w:p>
    <w:p>
      <w:pPr>
        <w:autoSpaceDN w:val="0"/>
        <w:spacing w:line="360" w:lineRule="auto"/>
        <w:ind w:right="11" w:firstLine="522"/>
        <w:rPr>
          <w:rFonts w:hint="eastAsia" w:ascii="仿宋" w:hAnsi="仿宋" w:eastAsia="仿宋" w:cs="仿宋"/>
          <w:color w:val="000000"/>
        </w:rPr>
      </w:pPr>
      <w:r>
        <w:rPr>
          <w:rFonts w:hint="eastAsia" w:ascii="仿宋" w:hAnsi="仿宋" w:eastAsia="仿宋" w:cs="仿宋"/>
        </w:rPr>
        <w:t>4.1.1、投标文件由招标物资明细暨投标报价清单（附件1）、</w:t>
      </w:r>
      <w:r>
        <w:rPr>
          <w:rFonts w:hint="eastAsia" w:ascii="仿宋" w:hAnsi="仿宋" w:eastAsia="仿宋" w:cs="仿宋"/>
          <w:color w:val="000000"/>
        </w:rPr>
        <w:t>投标说明</w:t>
      </w:r>
      <w:r>
        <w:rPr>
          <w:rFonts w:hint="eastAsia" w:ascii="仿宋" w:hAnsi="仿宋" w:eastAsia="仿宋" w:cs="仿宋"/>
        </w:rPr>
        <w:t>两部分组成。投标方需认真填写投标书相关要求，再以附件的形式上传至集中采购网络交易平台参与投标。</w:t>
      </w:r>
    </w:p>
    <w:p>
      <w:pPr>
        <w:spacing w:line="360" w:lineRule="auto"/>
        <w:ind w:firstLine="521"/>
        <w:rPr>
          <w:rFonts w:hint="eastAsia" w:ascii="仿宋" w:hAnsi="仿宋" w:eastAsia="仿宋" w:cs="仿宋"/>
        </w:rPr>
      </w:pPr>
      <w:r>
        <w:rPr>
          <w:rFonts w:hint="eastAsia" w:ascii="仿宋" w:hAnsi="仿宋" w:eastAsia="仿宋" w:cs="仿宋"/>
        </w:rPr>
        <w:t>4.1.2、投标说明包括的内容：</w:t>
      </w:r>
    </w:p>
    <w:p>
      <w:pPr>
        <w:spacing w:line="360" w:lineRule="auto"/>
        <w:ind w:firstLine="522"/>
        <w:rPr>
          <w:rFonts w:hint="eastAsia" w:ascii="仿宋" w:hAnsi="仿宋" w:eastAsia="仿宋" w:cs="仿宋"/>
        </w:rPr>
      </w:pPr>
      <w:r>
        <w:rPr>
          <w:rFonts w:hint="eastAsia" w:ascii="仿宋" w:hAnsi="仿宋" w:eastAsia="仿宋" w:cs="仿宋"/>
        </w:rPr>
        <w:t>4.1.2.1、投标人对产品质量、供应、售后服务的保证及对付款方式、</w:t>
      </w:r>
      <w:r>
        <w:rPr>
          <w:rFonts w:hint="eastAsia" w:ascii="仿宋" w:hAnsi="仿宋" w:eastAsia="仿宋" w:cs="仿宋"/>
          <w:color w:val="000000"/>
        </w:rPr>
        <w:t>优惠的商务条件</w:t>
      </w:r>
      <w:r>
        <w:rPr>
          <w:rFonts w:hint="eastAsia" w:ascii="仿宋" w:hAnsi="仿宋" w:eastAsia="仿宋" w:cs="仿宋"/>
        </w:rPr>
        <w:t>等各方面的承诺；</w:t>
      </w:r>
    </w:p>
    <w:p>
      <w:pPr>
        <w:spacing w:line="360" w:lineRule="auto"/>
        <w:ind w:firstLine="522"/>
        <w:rPr>
          <w:rFonts w:hint="eastAsia" w:ascii="仿宋" w:hAnsi="仿宋" w:eastAsia="仿宋" w:cs="仿宋"/>
        </w:rPr>
      </w:pPr>
      <w:r>
        <w:rPr>
          <w:rFonts w:hint="eastAsia" w:ascii="仿宋" w:hAnsi="仿宋" w:eastAsia="仿宋" w:cs="仿宋"/>
        </w:rPr>
        <w:t>4.1.2.2、产品质量证明、产品合格证、产品检测报告、</w:t>
      </w:r>
      <w:bookmarkStart w:id="14" w:name="OLE_LINK16"/>
      <w:bookmarkStart w:id="15" w:name="OLE_LINK15"/>
      <w:r>
        <w:rPr>
          <w:rFonts w:hint="eastAsia" w:ascii="仿宋" w:hAnsi="仿宋" w:eastAsia="仿宋" w:cs="仿宋"/>
        </w:rPr>
        <w:t>准入证明</w:t>
      </w:r>
      <w:bookmarkEnd w:id="14"/>
      <w:bookmarkEnd w:id="15"/>
      <w:r>
        <w:rPr>
          <w:rFonts w:hint="eastAsia" w:ascii="仿宋" w:hAnsi="仿宋" w:eastAsia="仿宋" w:cs="仿宋"/>
        </w:rPr>
        <w:t>等证明材料；</w:t>
      </w:r>
    </w:p>
    <w:p>
      <w:pPr>
        <w:spacing w:line="360" w:lineRule="auto"/>
        <w:ind w:firstLine="522"/>
        <w:rPr>
          <w:rFonts w:hint="eastAsia" w:ascii="仿宋" w:hAnsi="仿宋" w:eastAsia="仿宋" w:cs="仿宋"/>
        </w:rPr>
      </w:pPr>
      <w:r>
        <w:rPr>
          <w:rFonts w:hint="eastAsia" w:ascii="仿宋" w:hAnsi="仿宋" w:eastAsia="仿宋" w:cs="仿宋"/>
        </w:rPr>
        <w:t>4.1.2.3、其它优惠条件。</w:t>
      </w:r>
    </w:p>
    <w:p>
      <w:pPr>
        <w:pStyle w:val="9"/>
        <w:rPr>
          <w:rFonts w:hint="eastAsia" w:ascii="仿宋" w:hAnsi="仿宋" w:eastAsia="仿宋" w:cs="仿宋"/>
        </w:rPr>
      </w:pPr>
      <w:bookmarkStart w:id="16" w:name="_Toc24224"/>
      <w:r>
        <w:rPr>
          <w:rFonts w:hint="eastAsia" w:ascii="仿宋" w:hAnsi="仿宋" w:eastAsia="仿宋" w:cs="仿宋"/>
        </w:rPr>
        <w:t>4.2、投标文件的补充、修改和撤回</w:t>
      </w:r>
      <w:bookmarkEnd w:id="16"/>
    </w:p>
    <w:p>
      <w:pPr>
        <w:autoSpaceDN w:val="0"/>
        <w:spacing w:line="360" w:lineRule="auto"/>
        <w:ind w:firstLine="522"/>
        <w:rPr>
          <w:rFonts w:hint="eastAsia" w:ascii="仿宋" w:hAnsi="仿宋" w:eastAsia="仿宋" w:cs="仿宋"/>
          <w:color w:val="000000"/>
        </w:rPr>
      </w:pPr>
      <w:r>
        <w:rPr>
          <w:rFonts w:hint="eastAsia" w:ascii="仿宋" w:hAnsi="仿宋" w:eastAsia="仿宋" w:cs="仿宋"/>
          <w:color w:val="000000"/>
        </w:rPr>
        <w:t>4.2.1、投标单位在规定的提交投标截止时间之前，可以就招标文件理解不清楚的内容在平台中交流沟通。</w:t>
      </w:r>
    </w:p>
    <w:p>
      <w:pPr>
        <w:autoSpaceDN w:val="0"/>
        <w:spacing w:line="360" w:lineRule="auto"/>
        <w:ind w:firstLine="522"/>
        <w:rPr>
          <w:rFonts w:hint="eastAsia" w:ascii="仿宋" w:hAnsi="仿宋" w:eastAsia="仿宋" w:cs="仿宋"/>
          <w:color w:val="000000"/>
        </w:rPr>
      </w:pPr>
      <w:r>
        <w:rPr>
          <w:rFonts w:hint="eastAsia" w:ascii="仿宋" w:hAnsi="仿宋" w:eastAsia="仿宋" w:cs="仿宋"/>
          <w:color w:val="000000"/>
        </w:rPr>
        <w:t>4.2.2、在投标文件提交以后，投标单位不能撤回投标文件。</w:t>
      </w: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bookmarkStart w:id="17" w:name="_Toc31421"/>
      <w:r>
        <w:rPr>
          <w:rFonts w:hint="eastAsia" w:ascii="仿宋" w:hAnsi="仿宋" w:eastAsia="仿宋" w:cs="仿宋"/>
        </w:rPr>
        <w:t>4.3、报价原则</w:t>
      </w:r>
      <w:bookmarkEnd w:id="17"/>
    </w:p>
    <w:p>
      <w:pPr>
        <w:spacing w:line="360" w:lineRule="auto"/>
        <w:ind w:firstLine="523" w:firstLineChars="218"/>
        <w:rPr>
          <w:rFonts w:hint="eastAsia" w:ascii="仿宋" w:hAnsi="仿宋" w:eastAsia="仿宋" w:cs="仿宋"/>
        </w:rPr>
      </w:pPr>
      <w:r>
        <w:rPr>
          <w:rFonts w:hint="eastAsia" w:ascii="仿宋" w:hAnsi="仿宋" w:eastAsia="仿宋" w:cs="仿宋"/>
        </w:rPr>
        <w:t>4.3.1、投标人在投标前应充分了解使用项目的位置、现场情况、道路、储存空间、装卸限制及任何其它足以影响报价的情况，任何因忽视或误解工地情况而导致费用在定标后要求增加的，将不获批准。</w:t>
      </w:r>
    </w:p>
    <w:p>
      <w:pPr>
        <w:spacing w:line="360" w:lineRule="auto"/>
        <w:ind w:firstLine="523" w:firstLineChars="218"/>
        <w:rPr>
          <w:rFonts w:hint="eastAsia" w:ascii="仿宋" w:hAnsi="仿宋" w:eastAsia="仿宋" w:cs="仿宋"/>
        </w:rPr>
      </w:pPr>
      <w:r>
        <w:rPr>
          <w:rFonts w:hint="eastAsia" w:ascii="仿宋" w:hAnsi="仿宋" w:eastAsia="仿宋" w:cs="仿宋"/>
        </w:rPr>
        <w:t>4.3.2、投标人应以人民币报价。</w:t>
      </w:r>
    </w:p>
    <w:p>
      <w:pPr>
        <w:spacing w:line="360" w:lineRule="auto"/>
        <w:ind w:firstLine="523" w:firstLineChars="218"/>
        <w:rPr>
          <w:rFonts w:hint="eastAsia" w:ascii="仿宋" w:hAnsi="仿宋" w:eastAsia="仿宋" w:cs="仿宋"/>
          <w:b/>
          <w:bCs/>
          <w:highlight w:val="yellow"/>
        </w:rPr>
      </w:pPr>
      <w:r>
        <w:rPr>
          <w:rFonts w:hint="eastAsia" w:ascii="仿宋" w:hAnsi="仿宋" w:eastAsia="仿宋" w:cs="仿宋"/>
        </w:rPr>
        <w:t>4.3.3、投标人需认真对待投标报价。</w:t>
      </w:r>
      <w:r>
        <w:rPr>
          <w:rFonts w:hint="eastAsia" w:ascii="仿宋" w:hAnsi="仿宋" w:eastAsia="仿宋" w:cs="仿宋"/>
          <w:b/>
          <w:bCs/>
          <w:highlight w:val="none"/>
        </w:rPr>
        <w:t>报价环节分二轮，首轮开标报价（即投标文件报价）公开，根据情况淘汰最高价的30%，最低淘汰不少于一家，剩余单位入围第二轮报价。第二轮报价不公开，招标方将综合最低的几家单位报价作为中标拟定价（有要求付款条件明显优于招标文件，招标方会根据报价的偏离情况作为中标因素进行考虑）。</w:t>
      </w:r>
    </w:p>
    <w:p>
      <w:pPr>
        <w:pStyle w:val="9"/>
        <w:rPr>
          <w:rFonts w:hint="eastAsia" w:ascii="仿宋" w:hAnsi="仿宋" w:eastAsia="仿宋" w:cs="仿宋"/>
        </w:rPr>
      </w:pPr>
      <w:bookmarkStart w:id="18" w:name="_Toc25212"/>
      <w:r>
        <w:rPr>
          <w:rFonts w:hint="eastAsia" w:ascii="仿宋" w:hAnsi="仿宋" w:eastAsia="仿宋" w:cs="仿宋"/>
        </w:rPr>
        <w:t>4.4、投标有效期</w:t>
      </w:r>
      <w:bookmarkEnd w:id="18"/>
    </w:p>
    <w:p>
      <w:pPr>
        <w:spacing w:line="360" w:lineRule="auto"/>
        <w:ind w:firstLine="523" w:firstLineChars="218"/>
        <w:rPr>
          <w:rFonts w:hint="eastAsia" w:ascii="仿宋" w:hAnsi="仿宋" w:eastAsia="仿宋" w:cs="仿宋"/>
        </w:rPr>
      </w:pPr>
      <w:r>
        <w:rPr>
          <w:rFonts w:hint="eastAsia" w:ascii="仿宋" w:hAnsi="仿宋" w:eastAsia="仿宋" w:cs="仿宋"/>
        </w:rPr>
        <w:t>4.4.1、投标人需谨记回标的截止日期，避免因时间的延误而失去投标的机会。</w:t>
      </w:r>
    </w:p>
    <w:p>
      <w:pPr>
        <w:spacing w:line="360" w:lineRule="auto"/>
        <w:ind w:firstLine="523" w:firstLineChars="218"/>
        <w:rPr>
          <w:rFonts w:hint="eastAsia" w:ascii="仿宋" w:hAnsi="仿宋" w:eastAsia="仿宋" w:cs="仿宋"/>
        </w:rPr>
      </w:pPr>
      <w:r>
        <w:rPr>
          <w:rFonts w:hint="eastAsia" w:ascii="仿宋" w:hAnsi="仿宋" w:eastAsia="仿宋" w:cs="仿宋"/>
        </w:rPr>
        <w:t>4.4.2、在特殊情况下，投标人在原定投标文件有效期内可根据需要向招标人提出延长截止日期的要求，并立即向招标人说明情况；招标人可以同意也可以拒绝投标人的要求。</w:t>
      </w:r>
    </w:p>
    <w:p>
      <w:pPr>
        <w:pStyle w:val="9"/>
        <w:rPr>
          <w:rFonts w:hint="eastAsia" w:ascii="仿宋" w:hAnsi="仿宋" w:eastAsia="仿宋" w:cs="仿宋"/>
        </w:rPr>
      </w:pPr>
      <w:bookmarkStart w:id="19" w:name="_Toc813"/>
      <w:r>
        <w:rPr>
          <w:rFonts w:hint="eastAsia" w:ascii="仿宋" w:hAnsi="仿宋" w:eastAsia="仿宋" w:cs="仿宋"/>
        </w:rPr>
        <w:t>4.5、投标文件的提交</w:t>
      </w:r>
      <w:bookmarkEnd w:id="19"/>
    </w:p>
    <w:p>
      <w:pPr>
        <w:spacing w:line="360" w:lineRule="auto"/>
        <w:ind w:firstLine="523" w:firstLineChars="218"/>
        <w:rPr>
          <w:rFonts w:hint="eastAsia" w:ascii="仿宋" w:hAnsi="仿宋" w:eastAsia="仿宋" w:cs="仿宋"/>
        </w:rPr>
      </w:pPr>
      <w:r>
        <w:rPr>
          <w:rFonts w:hint="eastAsia" w:ascii="仿宋" w:hAnsi="仿宋" w:eastAsia="仿宋" w:cs="仿宋"/>
        </w:rPr>
        <w:t>4.5.1、投标文件的提交截止时间：</w:t>
      </w:r>
      <w:r>
        <w:rPr>
          <w:rFonts w:hint="eastAsia" w:ascii="仿宋" w:hAnsi="仿宋" w:eastAsia="仿宋" w:cs="仿宋"/>
          <w:color w:val="5B9BD5" w:themeColor="accent1"/>
          <w:highlight w:val="yellow"/>
          <w:lang w:val="en-US" w:eastAsia="zh-CN"/>
          <w14:textFill>
            <w14:solidFill>
              <w14:schemeClr w14:val="accent1"/>
            </w14:solidFill>
          </w14:textFill>
        </w:rPr>
        <w:t>2020年7月15日8:00</w:t>
      </w:r>
      <w:r>
        <w:rPr>
          <w:rFonts w:hint="eastAsia" w:ascii="仿宋" w:hAnsi="仿宋" w:eastAsia="仿宋" w:cs="仿宋"/>
          <w:highlight w:val="yellow"/>
        </w:rPr>
        <w:t>（北京时间）；</w:t>
      </w:r>
    </w:p>
    <w:p>
      <w:pPr>
        <w:spacing w:line="360" w:lineRule="auto"/>
        <w:ind w:firstLine="523" w:firstLineChars="218"/>
        <w:rPr>
          <w:rFonts w:hint="eastAsia" w:ascii="仿宋" w:hAnsi="仿宋" w:eastAsia="仿宋" w:cs="仿宋"/>
        </w:rPr>
      </w:pPr>
      <w:r>
        <w:rPr>
          <w:rFonts w:hint="eastAsia" w:ascii="仿宋" w:hAnsi="仿宋" w:eastAsia="仿宋" w:cs="仿宋"/>
        </w:rPr>
        <w:t>4.5.2、投标文件的提交网址：云筑网集中采购网络交易平台；</w:t>
      </w:r>
    </w:p>
    <w:p>
      <w:pPr>
        <w:spacing w:line="360" w:lineRule="auto"/>
        <w:ind w:firstLine="523" w:firstLineChars="218"/>
        <w:rPr>
          <w:rFonts w:hint="eastAsia" w:ascii="仿宋" w:hAnsi="仿宋" w:eastAsia="仿宋" w:cs="仿宋"/>
        </w:rPr>
      </w:pPr>
      <w:r>
        <w:rPr>
          <w:rFonts w:hint="eastAsia" w:ascii="仿宋" w:hAnsi="仿宋" w:eastAsia="仿宋" w:cs="仿宋"/>
        </w:rPr>
        <w:t>4.5.3、投标人须时刻关注集中采购平台发布的信息，按照要求进行投标文件的编制并提交。</w:t>
      </w:r>
    </w:p>
    <w:p>
      <w:pPr>
        <w:spacing w:line="360" w:lineRule="auto"/>
        <w:ind w:firstLine="523" w:firstLineChars="218"/>
        <w:rPr>
          <w:rFonts w:hint="eastAsia" w:ascii="仿宋" w:hAnsi="仿宋" w:eastAsia="仿宋" w:cs="仿宋"/>
        </w:rPr>
      </w:pPr>
      <w:r>
        <w:rPr>
          <w:rFonts w:hint="eastAsia" w:ascii="仿宋" w:hAnsi="仿宋" w:eastAsia="仿宋" w:cs="仿宋"/>
        </w:rPr>
        <w:t>4.5.4</w:t>
      </w:r>
      <w:r>
        <w:rPr>
          <w:rFonts w:hint="eastAsia" w:ascii="仿宋" w:hAnsi="仿宋" w:eastAsia="仿宋" w:cs="仿宋"/>
          <w:b/>
        </w:rPr>
        <w:t xml:space="preserve"> 、</w:t>
      </w:r>
      <w:r>
        <w:rPr>
          <w:rFonts w:hint="eastAsia" w:ascii="仿宋" w:hAnsi="仿宋" w:eastAsia="仿宋" w:cs="仿宋"/>
        </w:rPr>
        <w:t>投标人在投标截止时间后提交的投标文件属于无效文件，此情况视为自动放弃投标。</w:t>
      </w:r>
    </w:p>
    <w:p>
      <w:pPr>
        <w:pStyle w:val="9"/>
        <w:rPr>
          <w:rFonts w:hint="eastAsia" w:ascii="仿宋" w:hAnsi="仿宋" w:eastAsia="仿宋" w:cs="仿宋"/>
        </w:rPr>
      </w:pPr>
      <w:bookmarkStart w:id="20" w:name="_Toc13498"/>
      <w:r>
        <w:rPr>
          <w:rFonts w:hint="eastAsia" w:ascii="仿宋" w:hAnsi="仿宋" w:eastAsia="仿宋" w:cs="仿宋"/>
        </w:rPr>
        <w:t>4.6、投标截止时间的延长</w:t>
      </w:r>
      <w:bookmarkEnd w:id="20"/>
    </w:p>
    <w:p>
      <w:pPr>
        <w:autoSpaceDN w:val="0"/>
        <w:spacing w:line="360" w:lineRule="auto"/>
        <w:ind w:left="397" w:firstLine="118"/>
        <w:rPr>
          <w:rFonts w:hint="eastAsia" w:ascii="仿宋" w:hAnsi="仿宋" w:eastAsia="仿宋" w:cs="仿宋"/>
          <w:color w:val="000000"/>
        </w:rPr>
      </w:pPr>
      <w:r>
        <w:rPr>
          <w:rFonts w:hint="eastAsia" w:ascii="仿宋" w:hAnsi="仿宋" w:eastAsia="仿宋" w:cs="仿宋"/>
          <w:color w:val="000000"/>
        </w:rPr>
        <w:t>4.6.1、招标单位可以在特殊情况下以补充通知的方式酌情延长递交投标文件的截止日期。上述情况下，招标单位与投标单位以前在投标截止方面的全部权利、责任和义务，将适用于延长至新的投标截止日期。</w:t>
      </w:r>
    </w:p>
    <w:p>
      <w:pPr>
        <w:autoSpaceDN w:val="0"/>
        <w:spacing w:line="360" w:lineRule="auto"/>
        <w:ind w:left="397" w:firstLine="118"/>
        <w:rPr>
          <w:rFonts w:hint="eastAsia" w:ascii="仿宋" w:hAnsi="仿宋" w:eastAsia="仿宋" w:cs="仿宋"/>
          <w:color w:val="000000"/>
        </w:rPr>
      </w:pPr>
      <w:r>
        <w:rPr>
          <w:rFonts w:hint="eastAsia" w:ascii="仿宋" w:hAnsi="仿宋" w:eastAsia="仿宋" w:cs="仿宋"/>
          <w:color w:val="000000"/>
        </w:rPr>
        <w:t>4.6.2、若投标单位申请延长递交投标文件的截止日期，则必须征得招标单位的同意。</w:t>
      </w: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ind w:firstLine="525" w:firstLineChars="218"/>
        <w:rPr>
          <w:rFonts w:hint="eastAsia" w:ascii="仿宋" w:hAnsi="仿宋" w:eastAsia="仿宋" w:cs="仿宋"/>
          <w:b/>
        </w:rPr>
      </w:pPr>
    </w:p>
    <w:p>
      <w:pPr>
        <w:spacing w:line="360" w:lineRule="auto"/>
        <w:rPr>
          <w:rFonts w:hint="eastAsia" w:ascii="仿宋" w:hAnsi="仿宋" w:eastAsia="仿宋" w:cs="仿宋"/>
          <w:b/>
        </w:rPr>
      </w:pPr>
    </w:p>
    <w:p>
      <w:pPr>
        <w:pStyle w:val="2"/>
        <w:keepNext w:val="0"/>
        <w:jc w:val="center"/>
        <w:rPr>
          <w:rFonts w:hint="eastAsia" w:ascii="仿宋" w:hAnsi="仿宋" w:eastAsia="仿宋" w:cs="仿宋"/>
        </w:rPr>
      </w:pPr>
      <w:bookmarkStart w:id="21" w:name="_Toc21222"/>
      <w:r>
        <w:rPr>
          <w:rFonts w:hint="eastAsia" w:ascii="仿宋" w:hAnsi="仿宋" w:eastAsia="仿宋" w:cs="仿宋"/>
        </w:rPr>
        <w:t>五、开标、评标和定标</w:t>
      </w:r>
      <w:bookmarkEnd w:id="21"/>
    </w:p>
    <w:p>
      <w:pPr>
        <w:pStyle w:val="5"/>
        <w:rPr>
          <w:rFonts w:hint="eastAsia" w:ascii="仿宋" w:hAnsi="仿宋" w:eastAsia="仿宋" w:cs="仿宋"/>
          <w:color w:val="FFFF00"/>
          <w:highlight w:val="yellow"/>
        </w:rPr>
      </w:pPr>
      <w:bookmarkStart w:id="22" w:name="_Toc22238"/>
      <w:r>
        <w:rPr>
          <w:rFonts w:hint="eastAsia" w:ascii="仿宋" w:hAnsi="仿宋" w:eastAsia="仿宋" w:cs="仿宋"/>
        </w:rPr>
        <w:t>5.1开标时间</w:t>
      </w:r>
      <w:r>
        <w:rPr>
          <w:rStyle w:val="10"/>
          <w:rFonts w:hint="eastAsia" w:ascii="仿宋" w:hAnsi="仿宋" w:eastAsia="仿宋" w:cs="仿宋"/>
          <w:b w:val="0"/>
          <w:highlight w:val="yellow"/>
        </w:rPr>
        <w:t>:</w:t>
      </w:r>
      <w:r>
        <w:rPr>
          <w:rFonts w:hint="eastAsia" w:ascii="仿宋" w:hAnsi="仿宋" w:eastAsia="仿宋" w:cs="仿宋"/>
          <w:highlight w:val="yellow"/>
          <w:u w:val="single"/>
        </w:rPr>
        <w:t xml:space="preserve"> </w:t>
      </w:r>
      <w:r>
        <w:rPr>
          <w:rFonts w:hint="eastAsia" w:ascii="仿宋" w:hAnsi="仿宋" w:eastAsia="仿宋" w:cs="仿宋"/>
          <w:b/>
          <w:color w:val="000000"/>
          <w:sz w:val="24"/>
          <w:highlight w:val="yellow"/>
          <w:u w:val="single"/>
          <w:lang w:eastAsia="zh-CN"/>
        </w:rPr>
        <w:t>20</w:t>
      </w:r>
      <w:r>
        <w:rPr>
          <w:rFonts w:hint="eastAsia" w:ascii="仿宋" w:hAnsi="仿宋" w:eastAsia="仿宋" w:cs="仿宋"/>
          <w:b/>
          <w:color w:val="000000"/>
          <w:sz w:val="24"/>
          <w:highlight w:val="yellow"/>
          <w:u w:val="single"/>
          <w:lang w:val="en-US" w:eastAsia="zh-CN"/>
        </w:rPr>
        <w:t>20</w:t>
      </w:r>
      <w:r>
        <w:rPr>
          <w:rFonts w:hint="eastAsia" w:ascii="仿宋" w:hAnsi="仿宋" w:eastAsia="仿宋" w:cs="仿宋"/>
          <w:b/>
          <w:color w:val="000000"/>
          <w:sz w:val="24"/>
          <w:highlight w:val="yellow"/>
          <w:u w:val="single"/>
          <w:lang w:eastAsia="zh-CN"/>
        </w:rPr>
        <w:t>年</w:t>
      </w:r>
      <w:r>
        <w:rPr>
          <w:rFonts w:hint="eastAsia" w:ascii="仿宋" w:hAnsi="仿宋" w:eastAsia="仿宋" w:cs="仿宋"/>
          <w:b/>
          <w:color w:val="000000"/>
          <w:sz w:val="24"/>
          <w:highlight w:val="yellow"/>
          <w:u w:val="single"/>
          <w:lang w:val="en-US" w:eastAsia="zh-CN"/>
        </w:rPr>
        <w:t>7</w:t>
      </w:r>
      <w:r>
        <w:rPr>
          <w:rFonts w:hint="eastAsia" w:ascii="仿宋" w:hAnsi="仿宋" w:eastAsia="仿宋" w:cs="仿宋"/>
          <w:b/>
          <w:color w:val="000000"/>
          <w:sz w:val="24"/>
          <w:highlight w:val="yellow"/>
          <w:u w:val="single"/>
          <w:lang w:eastAsia="zh-CN"/>
        </w:rPr>
        <w:t>月</w:t>
      </w:r>
      <w:r>
        <w:rPr>
          <w:rFonts w:hint="eastAsia" w:ascii="仿宋" w:hAnsi="仿宋" w:eastAsia="仿宋" w:cs="仿宋"/>
          <w:b/>
          <w:color w:val="000000"/>
          <w:sz w:val="24"/>
          <w:highlight w:val="yellow"/>
          <w:u w:val="single"/>
          <w:lang w:val="en-US" w:eastAsia="zh-CN"/>
        </w:rPr>
        <w:t>15</w:t>
      </w:r>
      <w:r>
        <w:rPr>
          <w:rFonts w:hint="eastAsia" w:ascii="仿宋" w:hAnsi="仿宋" w:eastAsia="仿宋" w:cs="仿宋"/>
          <w:b/>
          <w:color w:val="000000"/>
          <w:sz w:val="24"/>
          <w:highlight w:val="yellow"/>
          <w:u w:val="single"/>
          <w:lang w:eastAsia="zh-CN"/>
        </w:rPr>
        <w:t>日</w:t>
      </w:r>
      <w:r>
        <w:rPr>
          <w:rFonts w:hint="eastAsia" w:ascii="仿宋" w:hAnsi="仿宋" w:eastAsia="仿宋" w:cs="仿宋"/>
          <w:b/>
          <w:color w:val="000000"/>
          <w:sz w:val="24"/>
          <w:highlight w:val="yellow"/>
          <w:u w:val="single"/>
          <w:lang w:val="en-US" w:eastAsia="zh-CN"/>
        </w:rPr>
        <w:t>8</w:t>
      </w:r>
      <w:r>
        <w:rPr>
          <w:rFonts w:hint="eastAsia" w:ascii="仿宋" w:hAnsi="仿宋" w:eastAsia="仿宋" w:cs="仿宋"/>
          <w:b/>
          <w:color w:val="000000"/>
          <w:sz w:val="24"/>
          <w:highlight w:val="yellow"/>
          <w:u w:val="single"/>
          <w:lang w:eastAsia="zh-CN"/>
        </w:rPr>
        <w:t>:</w:t>
      </w:r>
      <w:r>
        <w:rPr>
          <w:rFonts w:hint="eastAsia" w:ascii="仿宋" w:hAnsi="仿宋" w:eastAsia="仿宋" w:cs="仿宋"/>
          <w:b/>
          <w:color w:val="000000"/>
          <w:sz w:val="24"/>
          <w:highlight w:val="yellow"/>
          <w:u w:val="single"/>
          <w:lang w:val="en-US" w:eastAsia="zh-CN"/>
        </w:rPr>
        <w:t>3</w:t>
      </w:r>
      <w:r>
        <w:rPr>
          <w:rFonts w:hint="eastAsia" w:ascii="仿宋" w:hAnsi="仿宋" w:eastAsia="仿宋" w:cs="仿宋"/>
          <w:b/>
          <w:color w:val="000000"/>
          <w:sz w:val="24"/>
          <w:highlight w:val="yellow"/>
          <w:u w:val="single"/>
          <w:lang w:eastAsia="zh-CN"/>
        </w:rPr>
        <w:t>0</w:t>
      </w:r>
      <w:r>
        <w:rPr>
          <w:rFonts w:hint="eastAsia" w:ascii="仿宋" w:hAnsi="仿宋" w:eastAsia="仿宋" w:cs="仿宋"/>
          <w:color w:val="5B9BD5" w:themeColor="accent1"/>
          <w:highlight w:val="yellow"/>
          <w14:textFill>
            <w14:solidFill>
              <w14:schemeClr w14:val="accent1"/>
            </w14:solidFill>
          </w14:textFill>
        </w:rPr>
        <w:t xml:space="preserve"> </w:t>
      </w:r>
      <w:r>
        <w:rPr>
          <w:rFonts w:hint="eastAsia" w:ascii="仿宋" w:hAnsi="仿宋" w:eastAsia="仿宋" w:cs="仿宋"/>
          <w:color w:val="000000"/>
          <w:highlight w:val="yellow"/>
        </w:rPr>
        <w:t>（北京时间）</w:t>
      </w:r>
      <w:bookmarkEnd w:id="22"/>
    </w:p>
    <w:p>
      <w:pPr>
        <w:pStyle w:val="5"/>
        <w:rPr>
          <w:rFonts w:hint="eastAsia" w:ascii="仿宋" w:hAnsi="仿宋" w:eastAsia="仿宋" w:cs="仿宋"/>
          <w:b w:val="0"/>
          <w:bCs/>
          <w:sz w:val="24"/>
          <w:szCs w:val="24"/>
        </w:rPr>
      </w:pPr>
      <w:bookmarkStart w:id="23" w:name="_Toc2736"/>
      <w:r>
        <w:rPr>
          <w:rFonts w:hint="eastAsia" w:ascii="仿宋" w:hAnsi="仿宋" w:eastAsia="仿宋" w:cs="仿宋"/>
        </w:rPr>
        <w:t>5.2</w:t>
      </w:r>
      <w:r>
        <w:rPr>
          <w:rStyle w:val="10"/>
          <w:rFonts w:hint="eastAsia" w:ascii="仿宋" w:hAnsi="仿宋" w:eastAsia="仿宋" w:cs="仿宋"/>
          <w:b w:val="0"/>
        </w:rPr>
        <w:t>开标地点：</w:t>
      </w:r>
      <w:r>
        <w:rPr>
          <w:rStyle w:val="10"/>
          <w:rFonts w:hint="eastAsia" w:ascii="仿宋" w:hAnsi="仿宋" w:eastAsia="仿宋" w:cs="仿宋"/>
          <w:b w:val="0"/>
          <w:lang w:val="en-US" w:eastAsia="zh-CN"/>
        </w:rPr>
        <w:t>安徽省</w:t>
      </w:r>
      <w:r>
        <w:rPr>
          <w:rFonts w:hint="eastAsia" w:ascii="仿宋" w:hAnsi="仿宋" w:eastAsia="仿宋" w:cs="仿宋"/>
          <w:b w:val="0"/>
          <w:bCs/>
          <w:sz w:val="24"/>
          <w:szCs w:val="24"/>
        </w:rPr>
        <w:t>阜阳市颍州区一道河路与阜王路交叉口金悦时代大厦A栋3B层  中建五局皖北分公司</w:t>
      </w:r>
      <w:bookmarkEnd w:id="23"/>
    </w:p>
    <w:p>
      <w:pPr>
        <w:pStyle w:val="5"/>
        <w:rPr>
          <w:rFonts w:hint="eastAsia" w:ascii="仿宋" w:hAnsi="仿宋" w:eastAsia="仿宋" w:cs="仿宋"/>
          <w:b/>
          <w:bCs w:val="0"/>
        </w:rPr>
      </w:pPr>
      <w:bookmarkStart w:id="24" w:name="_Toc24190"/>
      <w:r>
        <w:rPr>
          <w:rFonts w:hint="eastAsia" w:ascii="仿宋" w:hAnsi="仿宋" w:eastAsia="仿宋" w:cs="仿宋"/>
          <w:b/>
          <w:bCs w:val="0"/>
        </w:rPr>
        <w:t>5.3开标、评标</w:t>
      </w:r>
      <w:bookmarkEnd w:id="24"/>
    </w:p>
    <w:p>
      <w:pPr>
        <w:spacing w:line="360" w:lineRule="auto"/>
        <w:ind w:firstLine="523" w:firstLineChars="218"/>
        <w:rPr>
          <w:rFonts w:hint="eastAsia" w:ascii="仿宋" w:hAnsi="仿宋" w:eastAsia="仿宋" w:cs="仿宋"/>
          <w:b/>
        </w:rPr>
      </w:pPr>
      <w:r>
        <w:rPr>
          <w:rFonts w:hint="eastAsia" w:ascii="仿宋" w:hAnsi="仿宋" w:eastAsia="仿宋" w:cs="仿宋"/>
        </w:rPr>
        <w:t>5.3.1整个开标、评标、询标、定标过程均在</w:t>
      </w:r>
      <w:r>
        <w:rPr>
          <w:rFonts w:hint="eastAsia" w:ascii="仿宋" w:hAnsi="仿宋" w:eastAsia="仿宋" w:cs="仿宋"/>
          <w:color w:val="000000"/>
        </w:rPr>
        <w:t>“云筑网集中采购网络交易平台”</w:t>
      </w:r>
      <w:r>
        <w:rPr>
          <w:rFonts w:hint="eastAsia" w:ascii="仿宋" w:hAnsi="仿宋" w:eastAsia="仿宋" w:cs="仿宋"/>
        </w:rPr>
        <w:t>里进行，投标人法定代表人或委托代理人在招标人开标、评标、询标、定标时须一直保持集采平台在线状态，便于双方随时沟通，并需对澄清问题的答复负责，该答复将作为投标文件的组成部分。</w:t>
      </w:r>
    </w:p>
    <w:p>
      <w:pPr>
        <w:spacing w:line="360" w:lineRule="auto"/>
        <w:ind w:firstLine="523" w:firstLineChars="218"/>
        <w:rPr>
          <w:rFonts w:hint="eastAsia" w:ascii="仿宋" w:hAnsi="仿宋" w:eastAsia="仿宋" w:cs="仿宋"/>
        </w:rPr>
      </w:pPr>
      <w:r>
        <w:rPr>
          <w:rFonts w:hint="eastAsia" w:ascii="仿宋" w:hAnsi="仿宋" w:eastAsia="仿宋" w:cs="仿宋"/>
        </w:rPr>
        <w:t>5.3.2开标由招标人组建的评标委员会负责，各项操作一律在集中采购平台里进行，不邀请各投标人现场参加。</w:t>
      </w:r>
    </w:p>
    <w:p>
      <w:pPr>
        <w:spacing w:line="360" w:lineRule="auto"/>
        <w:ind w:firstLine="523" w:firstLineChars="218"/>
        <w:rPr>
          <w:rFonts w:hint="eastAsia" w:ascii="仿宋" w:hAnsi="仿宋" w:eastAsia="仿宋" w:cs="仿宋"/>
        </w:rPr>
      </w:pPr>
      <w:r>
        <w:rPr>
          <w:rFonts w:hint="eastAsia" w:ascii="仿宋" w:hAnsi="仿宋" w:eastAsia="仿宋" w:cs="仿宋"/>
        </w:rPr>
        <w:t>5.3.3首轮开标报价汇总后公开，根据情况淘汰最高价的30%,最低淘汰不少于一家（以投标报价有效的投标单位数量为基准,采用四舍五入方法取整数淘汰）；其次现场二次报价汇总不公开，留下最低价格的投标单位为中标单位，就不再进行询价。。</w:t>
      </w:r>
    </w:p>
    <w:p>
      <w:pPr>
        <w:spacing w:line="360" w:lineRule="auto"/>
        <w:ind w:firstLine="523" w:firstLineChars="218"/>
        <w:rPr>
          <w:rFonts w:hint="eastAsia" w:ascii="仿宋" w:hAnsi="仿宋" w:eastAsia="仿宋" w:cs="仿宋"/>
        </w:rPr>
      </w:pPr>
      <w:r>
        <w:rPr>
          <w:rFonts w:hint="eastAsia" w:ascii="仿宋" w:hAnsi="仿宋" w:eastAsia="仿宋" w:cs="仿宋"/>
        </w:rPr>
        <w:t>5.3.4招标人有权分别对各投标人进行单独询标或要求投标人澄清其投标文件，并有权根据招标人的实际需求要求全部或部分投标人进行第二次报价。</w:t>
      </w:r>
    </w:p>
    <w:p>
      <w:pPr>
        <w:pStyle w:val="9"/>
        <w:rPr>
          <w:rFonts w:hint="eastAsia" w:ascii="仿宋" w:hAnsi="仿宋" w:eastAsia="仿宋" w:cs="仿宋"/>
        </w:rPr>
      </w:pPr>
      <w:bookmarkStart w:id="25" w:name="_Toc18931"/>
      <w:r>
        <w:rPr>
          <w:rFonts w:hint="eastAsia" w:ascii="仿宋" w:hAnsi="仿宋" w:eastAsia="仿宋" w:cs="仿宋"/>
        </w:rPr>
        <w:t>5.4投标文件的符合性审查</w:t>
      </w:r>
      <w:bookmarkEnd w:id="25"/>
    </w:p>
    <w:p>
      <w:pPr>
        <w:spacing w:line="360" w:lineRule="auto"/>
        <w:ind w:firstLine="523" w:firstLineChars="218"/>
        <w:rPr>
          <w:rFonts w:hint="eastAsia" w:ascii="仿宋" w:hAnsi="仿宋" w:eastAsia="仿宋" w:cs="仿宋"/>
        </w:rPr>
      </w:pPr>
      <w:r>
        <w:rPr>
          <w:rFonts w:hint="eastAsia" w:ascii="仿宋" w:hAnsi="仿宋" w:eastAsia="仿宋" w:cs="仿宋"/>
        </w:rPr>
        <w:t>5.4.1投标文件有下列情况之一者，经评标委员会认定未能对招标文件做出实质性响应，作废标处理：</w:t>
      </w:r>
    </w:p>
    <w:p>
      <w:pPr>
        <w:spacing w:line="360" w:lineRule="auto"/>
        <w:rPr>
          <w:rFonts w:hint="eastAsia" w:ascii="仿宋" w:hAnsi="仿宋" w:eastAsia="仿宋" w:cs="仿宋"/>
        </w:rPr>
      </w:pPr>
      <w:r>
        <w:rPr>
          <w:rFonts w:hint="eastAsia" w:ascii="仿宋" w:hAnsi="仿宋" w:eastAsia="仿宋" w:cs="仿宋"/>
        </w:rPr>
        <w:t>（1）投标文件附有招标人不能接受的条件；</w:t>
      </w:r>
    </w:p>
    <w:p>
      <w:pPr>
        <w:spacing w:line="360" w:lineRule="auto"/>
        <w:rPr>
          <w:rFonts w:hint="eastAsia" w:ascii="仿宋" w:hAnsi="仿宋" w:eastAsia="仿宋" w:cs="仿宋"/>
        </w:rPr>
      </w:pPr>
      <w:r>
        <w:rPr>
          <w:rFonts w:hint="eastAsia" w:ascii="仿宋" w:hAnsi="仿宋" w:eastAsia="仿宋" w:cs="仿宋"/>
        </w:rPr>
        <w:t>（2）付款承诺高于招标文件的要求；</w:t>
      </w:r>
    </w:p>
    <w:p>
      <w:pPr>
        <w:spacing w:line="360" w:lineRule="auto"/>
        <w:rPr>
          <w:rFonts w:hint="eastAsia" w:ascii="仿宋" w:hAnsi="仿宋" w:eastAsia="仿宋" w:cs="仿宋"/>
        </w:rPr>
      </w:pPr>
      <w:r>
        <w:rPr>
          <w:rFonts w:hint="eastAsia" w:ascii="仿宋" w:hAnsi="仿宋" w:eastAsia="仿宋" w:cs="仿宋"/>
        </w:rPr>
        <w:t>（3）不符合招标文件中规定的其它实质性要求；</w:t>
      </w:r>
    </w:p>
    <w:p>
      <w:pPr>
        <w:spacing w:line="360" w:lineRule="auto"/>
        <w:rPr>
          <w:rFonts w:hint="eastAsia" w:ascii="仿宋" w:hAnsi="仿宋" w:eastAsia="仿宋" w:cs="仿宋"/>
        </w:rPr>
      </w:pPr>
      <w:r>
        <w:rPr>
          <w:rFonts w:hint="eastAsia" w:ascii="仿宋" w:hAnsi="仿宋" w:eastAsia="仿宋" w:cs="仿宋"/>
        </w:rPr>
        <w:t>（4）投标价高于招标人控制价的；</w:t>
      </w:r>
    </w:p>
    <w:p>
      <w:pPr>
        <w:spacing w:line="360" w:lineRule="auto"/>
        <w:rPr>
          <w:rFonts w:hint="eastAsia" w:ascii="仿宋" w:hAnsi="仿宋" w:eastAsia="仿宋" w:cs="仿宋"/>
        </w:rPr>
      </w:pPr>
      <w:r>
        <w:rPr>
          <w:rFonts w:hint="eastAsia" w:ascii="仿宋" w:hAnsi="仿宋" w:eastAsia="仿宋" w:cs="仿宋"/>
        </w:rPr>
        <w:t>（5）投标价明显低于成本价太多的；</w:t>
      </w:r>
    </w:p>
    <w:p>
      <w:pPr>
        <w:spacing w:line="360" w:lineRule="auto"/>
        <w:rPr>
          <w:rFonts w:hint="eastAsia" w:ascii="仿宋" w:hAnsi="仿宋" w:eastAsia="仿宋" w:cs="仿宋"/>
        </w:rPr>
      </w:pPr>
      <w:r>
        <w:rPr>
          <w:rFonts w:hint="eastAsia" w:ascii="仿宋" w:hAnsi="仿宋" w:eastAsia="仿宋" w:cs="仿宋"/>
        </w:rPr>
        <w:t>（6）有明显串标、围标迹象的。</w:t>
      </w:r>
    </w:p>
    <w:p>
      <w:pPr>
        <w:spacing w:line="360" w:lineRule="auto"/>
        <w:rPr>
          <w:rFonts w:hint="eastAsia" w:ascii="仿宋" w:hAnsi="仿宋" w:eastAsia="仿宋" w:cs="仿宋"/>
        </w:rPr>
      </w:pPr>
      <w:r>
        <w:rPr>
          <w:rFonts w:hint="eastAsia" w:ascii="仿宋" w:hAnsi="仿宋" w:eastAsia="仿宋" w:cs="仿宋"/>
        </w:rPr>
        <w:t>（7）没有按照招标文件要求提交投标保证金的；</w:t>
      </w:r>
    </w:p>
    <w:p>
      <w:pPr>
        <w:spacing w:line="360" w:lineRule="auto"/>
        <w:rPr>
          <w:rFonts w:hint="eastAsia" w:ascii="仿宋" w:hAnsi="仿宋" w:eastAsia="仿宋" w:cs="仿宋"/>
        </w:rPr>
      </w:pPr>
      <w:r>
        <w:rPr>
          <w:rFonts w:hint="eastAsia" w:ascii="仿宋" w:hAnsi="仿宋" w:eastAsia="仿宋" w:cs="仿宋"/>
        </w:rPr>
        <w:t xml:space="preserve">5.4.2 </w:t>
      </w:r>
      <w:r>
        <w:rPr>
          <w:rFonts w:hint="eastAsia" w:ascii="仿宋" w:hAnsi="仿宋" w:eastAsia="仿宋" w:cs="仿宋"/>
          <w:color w:val="000000"/>
        </w:rPr>
        <w:t>无效投标</w:t>
      </w:r>
    </w:p>
    <w:p>
      <w:pPr>
        <w:autoSpaceDN w:val="0"/>
        <w:spacing w:line="360" w:lineRule="auto"/>
        <w:ind w:firstLine="396"/>
        <w:rPr>
          <w:rFonts w:hint="eastAsia" w:ascii="仿宋" w:hAnsi="仿宋" w:eastAsia="仿宋" w:cs="仿宋"/>
          <w:color w:val="000000"/>
        </w:rPr>
      </w:pPr>
      <w:r>
        <w:rPr>
          <w:rFonts w:hint="eastAsia" w:ascii="仿宋" w:hAnsi="仿宋" w:eastAsia="仿宋" w:cs="仿宋"/>
          <w:color w:val="000000"/>
        </w:rPr>
        <w:t>发生下列情况之一者，视为无效投标：</w:t>
      </w:r>
    </w:p>
    <w:p>
      <w:pPr>
        <w:autoSpaceDN w:val="0"/>
        <w:spacing w:line="360" w:lineRule="auto"/>
        <w:ind w:firstLine="396"/>
        <w:rPr>
          <w:rFonts w:hint="eastAsia" w:ascii="仿宋" w:hAnsi="仿宋" w:eastAsia="仿宋" w:cs="仿宋"/>
          <w:color w:val="000000"/>
        </w:rPr>
      </w:pPr>
      <w:r>
        <w:rPr>
          <w:rFonts w:hint="eastAsia" w:ascii="仿宋" w:hAnsi="仿宋" w:eastAsia="仿宋" w:cs="仿宋"/>
          <w:color w:val="000000"/>
        </w:rPr>
        <w:t>（1）投标文件未按规定格式、内容填写、投标文件内容与招标文件有严重背离。</w:t>
      </w:r>
    </w:p>
    <w:p>
      <w:pPr>
        <w:autoSpaceDN w:val="0"/>
        <w:spacing w:line="360" w:lineRule="auto"/>
        <w:ind w:firstLine="396"/>
        <w:rPr>
          <w:rFonts w:hint="eastAsia" w:ascii="仿宋" w:hAnsi="仿宋" w:eastAsia="仿宋" w:cs="仿宋"/>
          <w:color w:val="000000"/>
        </w:rPr>
      </w:pPr>
      <w:r>
        <w:rPr>
          <w:rFonts w:hint="eastAsia" w:ascii="仿宋" w:hAnsi="仿宋" w:eastAsia="仿宋" w:cs="仿宋"/>
          <w:color w:val="000000"/>
        </w:rPr>
        <w:t>（2）在投标文件中有两个以上的报价，且未明确哪个报价有效。</w:t>
      </w:r>
    </w:p>
    <w:p>
      <w:pPr>
        <w:pStyle w:val="9"/>
        <w:rPr>
          <w:rFonts w:hint="eastAsia" w:ascii="仿宋" w:hAnsi="仿宋" w:eastAsia="仿宋" w:cs="仿宋"/>
        </w:rPr>
      </w:pPr>
      <w:bookmarkStart w:id="26" w:name="_Toc29926"/>
      <w:r>
        <w:rPr>
          <w:rFonts w:hint="eastAsia" w:ascii="仿宋" w:hAnsi="仿宋" w:eastAsia="仿宋" w:cs="仿宋"/>
        </w:rPr>
        <w:t>5.5其它情况的处理</w:t>
      </w:r>
      <w:bookmarkEnd w:id="26"/>
    </w:p>
    <w:p>
      <w:pPr>
        <w:spacing w:line="360" w:lineRule="auto"/>
        <w:ind w:firstLine="523" w:firstLineChars="218"/>
        <w:rPr>
          <w:rFonts w:hint="eastAsia" w:ascii="仿宋" w:hAnsi="仿宋" w:eastAsia="仿宋" w:cs="仿宋"/>
        </w:rPr>
      </w:pPr>
      <w:r>
        <w:rPr>
          <w:rFonts w:hint="eastAsia" w:ascii="仿宋" w:hAnsi="仿宋" w:eastAsia="仿宋" w:cs="仿宋"/>
        </w:rPr>
        <w:t>5.5.1在招标文件发出后至投标、评标、询标、定标以及授予合同的过程中，投标人或投标人的关系人试图向招标人评审委员会施加影响的任何行为，都将会导致其投标被直接拒绝，作废标处理。</w:t>
      </w:r>
    </w:p>
    <w:p>
      <w:pPr>
        <w:pStyle w:val="9"/>
        <w:rPr>
          <w:rFonts w:hint="eastAsia" w:ascii="仿宋" w:hAnsi="仿宋" w:eastAsia="仿宋" w:cs="仿宋"/>
        </w:rPr>
      </w:pPr>
      <w:bookmarkStart w:id="27" w:name="_Toc1611"/>
      <w:r>
        <w:rPr>
          <w:rFonts w:hint="eastAsia" w:ascii="仿宋" w:hAnsi="仿宋" w:eastAsia="仿宋" w:cs="仿宋"/>
        </w:rPr>
        <w:t>5.6投标文件的评审</w:t>
      </w:r>
      <w:bookmarkEnd w:id="27"/>
    </w:p>
    <w:p>
      <w:pPr>
        <w:spacing w:line="360" w:lineRule="auto"/>
        <w:ind w:firstLine="522"/>
        <w:rPr>
          <w:rFonts w:hint="eastAsia" w:ascii="仿宋" w:hAnsi="仿宋" w:eastAsia="仿宋" w:cs="仿宋"/>
        </w:rPr>
      </w:pPr>
      <w:r>
        <w:rPr>
          <w:rFonts w:hint="eastAsia" w:ascii="仿宋" w:hAnsi="仿宋" w:eastAsia="仿宋" w:cs="仿宋"/>
        </w:rPr>
        <w:t>5.6.1评标委员会将综合报价、承诺、付款方式等方面对实质上响应招标文件要求的投标文件进行评审。</w:t>
      </w:r>
    </w:p>
    <w:p>
      <w:pPr>
        <w:spacing w:line="360" w:lineRule="auto"/>
        <w:ind w:firstLine="522"/>
        <w:rPr>
          <w:rFonts w:hint="eastAsia" w:ascii="仿宋" w:hAnsi="仿宋" w:eastAsia="仿宋" w:cs="仿宋"/>
        </w:rPr>
      </w:pPr>
      <w:r>
        <w:rPr>
          <w:rFonts w:hint="eastAsia" w:ascii="仿宋" w:hAnsi="仿宋" w:eastAsia="仿宋" w:cs="仿宋"/>
        </w:rPr>
        <w:t>5.6.2评标委员会保留对经评审综合得分较高的投标人进行进一步谈判的权利，投标人应充分了解并根据自身情况尽量与招标人评审委员会达成一致。进一步谈判或投标人被要求第二次报价并不代表招标人一定会将合同授予相应的投标人。</w:t>
      </w:r>
    </w:p>
    <w:p>
      <w:pPr>
        <w:spacing w:line="360" w:lineRule="auto"/>
        <w:ind w:firstLine="480"/>
        <w:rPr>
          <w:rFonts w:hint="eastAsia" w:ascii="仿宋" w:hAnsi="仿宋" w:eastAsia="仿宋" w:cs="仿宋"/>
        </w:rPr>
      </w:pPr>
    </w:p>
    <w:p>
      <w:pPr>
        <w:spacing w:line="360" w:lineRule="auto"/>
        <w:ind w:firstLine="480"/>
        <w:rPr>
          <w:rFonts w:hint="eastAsia" w:ascii="仿宋" w:hAnsi="仿宋" w:eastAsia="仿宋" w:cs="仿宋"/>
        </w:rPr>
      </w:pPr>
    </w:p>
    <w:p>
      <w:pPr>
        <w:pStyle w:val="2"/>
        <w:keepNext w:val="0"/>
        <w:jc w:val="center"/>
        <w:rPr>
          <w:rFonts w:hint="eastAsia" w:ascii="仿宋" w:hAnsi="仿宋" w:eastAsia="仿宋" w:cs="仿宋"/>
        </w:rPr>
      </w:pPr>
      <w:bookmarkStart w:id="28" w:name="_Toc19667"/>
      <w:r>
        <w:rPr>
          <w:rFonts w:hint="eastAsia" w:ascii="仿宋" w:hAnsi="仿宋" w:eastAsia="仿宋" w:cs="仿宋"/>
        </w:rPr>
        <w:t>六、合同的授予</w:t>
      </w:r>
      <w:bookmarkEnd w:id="28"/>
    </w:p>
    <w:p>
      <w:pPr>
        <w:pStyle w:val="9"/>
        <w:rPr>
          <w:rFonts w:hint="eastAsia" w:ascii="仿宋" w:hAnsi="仿宋" w:eastAsia="仿宋" w:cs="仿宋"/>
        </w:rPr>
      </w:pPr>
      <w:bookmarkStart w:id="29" w:name="_Toc13509"/>
      <w:r>
        <w:rPr>
          <w:rFonts w:hint="eastAsia" w:ascii="仿宋" w:hAnsi="仿宋" w:eastAsia="仿宋" w:cs="仿宋"/>
        </w:rPr>
        <w:t>6.1合同的授予和拒绝</w:t>
      </w:r>
      <w:bookmarkEnd w:id="29"/>
    </w:p>
    <w:p>
      <w:pPr>
        <w:spacing w:line="360" w:lineRule="auto"/>
        <w:ind w:firstLine="523" w:firstLineChars="218"/>
        <w:rPr>
          <w:rFonts w:hint="eastAsia" w:ascii="仿宋" w:hAnsi="仿宋" w:eastAsia="仿宋" w:cs="仿宋"/>
        </w:rPr>
      </w:pPr>
      <w:r>
        <w:rPr>
          <w:rFonts w:hint="eastAsia" w:ascii="仿宋" w:hAnsi="仿宋" w:eastAsia="仿宋" w:cs="仿宋"/>
        </w:rPr>
        <w:t>6.1.1招标人将把合同授予综合比较最优的投标人，确定为中标的投标人必须具有实施本合同的能力和资源。</w:t>
      </w:r>
    </w:p>
    <w:p>
      <w:pPr>
        <w:spacing w:line="360" w:lineRule="auto"/>
        <w:ind w:firstLine="523" w:firstLineChars="218"/>
        <w:rPr>
          <w:rFonts w:hint="eastAsia" w:ascii="仿宋" w:hAnsi="仿宋" w:eastAsia="仿宋" w:cs="仿宋"/>
        </w:rPr>
      </w:pPr>
      <w:r>
        <w:rPr>
          <w:rFonts w:hint="eastAsia" w:ascii="仿宋" w:hAnsi="仿宋" w:eastAsia="仿宋" w:cs="仿宋"/>
        </w:rPr>
        <w:t>6.1.2投标人应该理解，招标人有权将合同授予招标人认为最合适的任何一位投标人，也有权拒绝任何投标人，且并不需要就任何原因向投标人作任何解释。</w:t>
      </w:r>
    </w:p>
    <w:p>
      <w:pPr>
        <w:pStyle w:val="9"/>
        <w:rPr>
          <w:rFonts w:hint="eastAsia" w:ascii="仿宋" w:hAnsi="仿宋" w:eastAsia="仿宋" w:cs="仿宋"/>
        </w:rPr>
      </w:pPr>
      <w:bookmarkStart w:id="30" w:name="_Toc1855"/>
      <w:r>
        <w:rPr>
          <w:rFonts w:hint="eastAsia" w:ascii="仿宋" w:hAnsi="仿宋" w:eastAsia="仿宋" w:cs="仿宋"/>
        </w:rPr>
        <w:t>6.2中标通知书</w:t>
      </w:r>
      <w:bookmarkEnd w:id="30"/>
    </w:p>
    <w:p>
      <w:pPr>
        <w:spacing w:line="360" w:lineRule="auto"/>
        <w:ind w:firstLine="523" w:firstLineChars="218"/>
        <w:rPr>
          <w:rFonts w:hint="eastAsia" w:ascii="仿宋" w:hAnsi="仿宋" w:eastAsia="仿宋" w:cs="仿宋"/>
        </w:rPr>
      </w:pPr>
      <w:r>
        <w:rPr>
          <w:rFonts w:hint="eastAsia" w:ascii="仿宋" w:hAnsi="仿宋" w:eastAsia="仿宋" w:cs="仿宋"/>
        </w:rPr>
        <w:t>6.2.1招标人在定标报告审批通过以后发布中标信息，并向中标人发出中标通知书。</w:t>
      </w:r>
    </w:p>
    <w:p>
      <w:pPr>
        <w:spacing w:line="360" w:lineRule="auto"/>
        <w:ind w:firstLine="523" w:firstLineChars="218"/>
        <w:rPr>
          <w:rFonts w:hint="eastAsia" w:ascii="仿宋" w:hAnsi="仿宋" w:eastAsia="仿宋" w:cs="仿宋"/>
        </w:rPr>
      </w:pPr>
      <w:r>
        <w:rPr>
          <w:rFonts w:hint="eastAsia" w:ascii="仿宋" w:hAnsi="仿宋" w:eastAsia="仿宋" w:cs="仿宋"/>
        </w:rPr>
        <w:t>6.2.2中标通知书将由招标人通过集中采购平台向中标人发放，各投标人须时刻关注。</w:t>
      </w:r>
    </w:p>
    <w:p>
      <w:pPr>
        <w:pStyle w:val="9"/>
        <w:rPr>
          <w:rFonts w:hint="eastAsia" w:ascii="仿宋" w:hAnsi="仿宋" w:eastAsia="仿宋" w:cs="仿宋"/>
        </w:rPr>
      </w:pPr>
      <w:bookmarkStart w:id="31" w:name="_Toc31249"/>
      <w:r>
        <w:rPr>
          <w:rFonts w:hint="eastAsia" w:ascii="仿宋" w:hAnsi="仿宋" w:eastAsia="仿宋" w:cs="仿宋"/>
        </w:rPr>
        <w:t>6.3合同的签订</w:t>
      </w:r>
      <w:bookmarkEnd w:id="31"/>
    </w:p>
    <w:p>
      <w:pPr>
        <w:autoSpaceDN w:val="0"/>
        <w:spacing w:line="360" w:lineRule="auto"/>
        <w:ind w:firstLine="522"/>
        <w:rPr>
          <w:rFonts w:hint="eastAsia" w:ascii="仿宋" w:hAnsi="仿宋" w:eastAsia="仿宋" w:cs="仿宋"/>
          <w:color w:val="000000"/>
        </w:rPr>
      </w:pPr>
      <w:r>
        <w:rPr>
          <w:rFonts w:hint="eastAsia" w:ascii="仿宋" w:hAnsi="仿宋" w:eastAsia="仿宋" w:cs="仿宋"/>
          <w:color w:val="000000"/>
        </w:rPr>
        <w:t>6.3.1中标单位应按招标文件规定的时间、地点，由投标单位法人或授权代理人携带公司资质原件（营业执照、资质证书、税务登记证、安全生产许可证、组织机构代码证等），前往与招标单位代表根据国家有关法律规定、招标文件、投标文件签订《物资采购合同》。</w:t>
      </w:r>
    </w:p>
    <w:p>
      <w:pPr>
        <w:autoSpaceDN w:val="0"/>
        <w:spacing w:line="360" w:lineRule="auto"/>
        <w:ind w:firstLine="522"/>
        <w:rPr>
          <w:rFonts w:hint="eastAsia" w:ascii="仿宋" w:hAnsi="仿宋" w:eastAsia="仿宋" w:cs="仿宋"/>
          <w:color w:val="000000"/>
          <w:sz w:val="32"/>
        </w:rPr>
      </w:pPr>
      <w:r>
        <w:rPr>
          <w:rFonts w:hint="eastAsia" w:ascii="仿宋" w:hAnsi="仿宋" w:eastAsia="仿宋" w:cs="仿宋"/>
        </w:rPr>
        <w:t>6.3.2中标人如不按本招标文件规定的时间及地点与招标人签订合同，则视为</w:t>
      </w:r>
      <w:r>
        <w:rPr>
          <w:rFonts w:hint="eastAsia" w:ascii="仿宋" w:hAnsi="仿宋" w:eastAsia="仿宋" w:cs="仿宋"/>
          <w:color w:val="000000"/>
        </w:rPr>
        <w:t>中标人自行放弃中标资格。</w:t>
      </w:r>
      <w:r>
        <w:rPr>
          <w:rFonts w:hint="eastAsia" w:ascii="仿宋" w:hAnsi="仿宋" w:eastAsia="仿宋" w:cs="仿宋"/>
        </w:rPr>
        <w:t>招标人将根据招标文件的要求</w:t>
      </w:r>
      <w:r>
        <w:rPr>
          <w:rFonts w:hint="eastAsia" w:ascii="仿宋" w:hAnsi="仿宋" w:eastAsia="仿宋" w:cs="仿宋"/>
          <w:color w:val="000000"/>
        </w:rPr>
        <w:t>，没收投标人交纳的投标保证金，</w:t>
      </w:r>
      <w:r>
        <w:rPr>
          <w:rFonts w:hint="eastAsia" w:ascii="仿宋" w:hAnsi="仿宋" w:eastAsia="仿宋" w:cs="仿宋"/>
        </w:rPr>
        <w:t>并</w:t>
      </w:r>
      <w:r>
        <w:rPr>
          <w:rFonts w:hint="eastAsia" w:ascii="仿宋" w:hAnsi="仿宋" w:eastAsia="仿宋" w:cs="仿宋"/>
          <w:color w:val="000000"/>
        </w:rPr>
        <w:t>将依法追究投标人相应的经济和法律责任。</w:t>
      </w:r>
    </w:p>
    <w:p>
      <w:pPr>
        <w:spacing w:line="360" w:lineRule="auto"/>
        <w:rPr>
          <w:rFonts w:hint="eastAsia"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C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qFormat/>
    <w:uiPriority w:val="9"/>
    <w:pPr>
      <w:keepNext/>
      <w:spacing w:before="240" w:after="60"/>
      <w:outlineLvl w:val="0"/>
    </w:pPr>
    <w:rPr>
      <w:rFonts w:ascii="Cambria" w:hAnsi="Cambria"/>
      <w:b/>
      <w:bCs/>
      <w:kern w:val="32"/>
      <w:sz w:val="32"/>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toc 1"/>
    <w:basedOn w:val="1"/>
    <w:next w:val="1"/>
    <w:unhideWhenUsed/>
    <w:qFormat/>
    <w:uiPriority w:val="39"/>
  </w:style>
  <w:style w:type="paragraph" w:styleId="4">
    <w:name w:val="toc 2"/>
    <w:basedOn w:val="1"/>
    <w:next w:val="1"/>
    <w:unhideWhenUsed/>
    <w:qFormat/>
    <w:uiPriority w:val="39"/>
    <w:pPr>
      <w:ind w:left="420" w:leftChars="200"/>
    </w:pPr>
  </w:style>
  <w:style w:type="paragraph" w:styleId="5">
    <w:name w:val="Title"/>
    <w:basedOn w:val="1"/>
    <w:next w:val="1"/>
    <w:link w:val="11"/>
    <w:qFormat/>
    <w:uiPriority w:val="10"/>
    <w:pPr>
      <w:spacing w:line="360" w:lineRule="auto"/>
      <w:outlineLvl w:val="1"/>
    </w:pPr>
    <w:rPr>
      <w:rFonts w:ascii="仿宋_GB2312" w:hAnsi="宋体" w:eastAsia="仿宋_GB2312"/>
      <w:b/>
    </w:rPr>
  </w:style>
  <w:style w:type="paragraph" w:customStyle="1" w:styleId="8">
    <w:name w:val="列表段落1"/>
    <w:basedOn w:val="1"/>
    <w:qFormat/>
    <w:uiPriority w:val="0"/>
    <w:pPr>
      <w:ind w:firstLine="420" w:firstLineChars="200"/>
    </w:pPr>
  </w:style>
  <w:style w:type="paragraph" w:customStyle="1" w:styleId="9">
    <w:name w:val="样式1"/>
    <w:basedOn w:val="5"/>
    <w:link w:val="10"/>
    <w:qFormat/>
    <w:uiPriority w:val="0"/>
  </w:style>
  <w:style w:type="character" w:customStyle="1" w:styleId="10">
    <w:name w:val="样式1 Char"/>
    <w:basedOn w:val="11"/>
    <w:link w:val="9"/>
    <w:qFormat/>
    <w:uiPriority w:val="0"/>
  </w:style>
  <w:style w:type="character" w:customStyle="1" w:styleId="11">
    <w:name w:val="标题 字符"/>
    <w:link w:val="5"/>
    <w:qFormat/>
    <w:uiPriority w:val="10"/>
    <w:rPr>
      <w:rFonts w:ascii="仿宋_GB2312" w:hAnsi="宋体" w:eastAsia="仿宋_GB2312"/>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2020-07-02T09:26:30Z</dcterms:created>
  <dc:creator>H</dc:creator>
  <cp:lastModifiedBy>文又木</cp:lastModifiedBy>
  <dcterms:modified xsi:type="dcterms:W3CDTF">2020-07-02T09:28:04Z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