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452"/>
        </w:tabs>
        <w:spacing w:after="156" w:afterLines="50" w:line="500" w:lineRule="exact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招标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公告</w:t>
      </w:r>
    </w:p>
    <w:p>
      <w:pPr>
        <w:pStyle w:val="2"/>
        <w:tabs>
          <w:tab w:val="left" w:pos="4452"/>
        </w:tabs>
        <w:spacing w:after="156" w:afterLines="50" w:line="500" w:lineRule="exact"/>
        <w:jc w:val="center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 xml:space="preserve">                   No.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           </w:t>
      </w:r>
      <w:r>
        <w:rPr>
          <w:rFonts w:hint="eastAsia" w:eastAsia="仿宋_GB2312"/>
          <w:sz w:val="24"/>
          <w:u w:val="single"/>
        </w:rPr>
        <w:t xml:space="preserve">       </w:t>
      </w:r>
      <w:r>
        <w:rPr>
          <w:rFonts w:hint="eastAsia" w:eastAsia="仿宋_GB2312"/>
          <w:sz w:val="24"/>
        </w:rPr>
        <w:t xml:space="preserve">  </w:t>
      </w:r>
    </w:p>
    <w:p>
      <w:pPr>
        <w:pStyle w:val="2"/>
        <w:tabs>
          <w:tab w:val="left" w:pos="4452"/>
        </w:tabs>
        <w:spacing w:after="156" w:afterLines="50" w:line="500" w:lineRule="exact"/>
        <w:jc w:val="left"/>
        <w:rPr>
          <w:rFonts w:hint="eastAsia" w:eastAsia="仿宋_GB2312"/>
          <w:sz w:val="24"/>
          <w:u w:val="none"/>
          <w:lang w:val="en-US" w:eastAsia="zh-CN"/>
        </w:rPr>
      </w:pPr>
      <w:r>
        <w:rPr>
          <w:rFonts w:hint="eastAsia" w:eastAsia="仿宋_GB2312"/>
          <w:sz w:val="24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24"/>
          <w:u w:val="single"/>
        </w:rPr>
        <w:t xml:space="preserve">                       </w:t>
      </w:r>
      <w:r>
        <w:rPr>
          <w:rFonts w:hint="eastAsia" w:eastAsia="仿宋_GB2312"/>
          <w:sz w:val="24"/>
          <w:u w:val="none"/>
          <w:lang w:eastAsia="zh-CN"/>
        </w:rPr>
        <w:t>公司</w:t>
      </w:r>
      <w:r>
        <w:rPr>
          <w:rFonts w:hint="eastAsia" w:eastAsia="仿宋_GB2312"/>
          <w:sz w:val="24"/>
          <w:u w:val="none"/>
          <w:lang w:val="en-US" w:eastAsia="zh-CN"/>
        </w:rPr>
        <w:t>:</w:t>
      </w:r>
    </w:p>
    <w:p>
      <w:pPr>
        <w:pStyle w:val="2"/>
        <w:tabs>
          <w:tab w:val="left" w:pos="4452"/>
        </w:tabs>
        <w:spacing w:after="156" w:afterLines="50" w:line="500" w:lineRule="exact"/>
        <w:jc w:val="left"/>
        <w:rPr>
          <w:rFonts w:hint="eastAsia" w:eastAsia="仿宋_GB2312"/>
          <w:sz w:val="24"/>
          <w:u w:val="none"/>
          <w:lang w:val="en-US" w:eastAsia="zh-CN"/>
        </w:rPr>
      </w:pPr>
      <w:r>
        <w:rPr>
          <w:rFonts w:hint="eastAsia" w:eastAsia="仿宋_GB2312"/>
          <w:sz w:val="24"/>
          <w:u w:val="none"/>
          <w:lang w:val="en-US" w:eastAsia="zh-CN"/>
        </w:rPr>
        <w:t xml:space="preserve">   我公司拟针对承建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>蚌埠金能移动能源产业园300MW GSE铜铟镓硒BAPV组件及300MW GSE铜铟镓硒汉瓦项目机电安装及洁净室工程（一标段）</w:t>
      </w:r>
      <w:r>
        <w:rPr>
          <w:rFonts w:hint="eastAsia" w:eastAsia="仿宋_GB2312"/>
          <w:sz w:val="24"/>
          <w:u w:val="none"/>
          <w:lang w:val="en-US" w:eastAsia="zh-CN"/>
        </w:rPr>
        <w:t>项目的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装饰装修材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  <w:lang w:val="en-US" w:eastAsia="zh-CN"/>
        </w:rPr>
        <w:t>料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 w:eastAsia="仿宋_GB2312"/>
          <w:sz w:val="24"/>
          <w:u w:val="none"/>
          <w:lang w:val="en-US" w:eastAsia="zh-CN"/>
        </w:rPr>
        <w:t>进行招标，诚邀符合资格要求、能提供优质服务的国内供应商参加投标，具体事项如下：</w:t>
      </w:r>
    </w:p>
    <w:tbl>
      <w:tblPr>
        <w:tblStyle w:val="3"/>
        <w:tblW w:w="870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789"/>
        <w:gridCol w:w="61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55" w:type="dxa"/>
            <w:vAlign w:val="center"/>
          </w:tcPr>
          <w:p>
            <w:pPr>
              <w:pStyle w:val="2"/>
              <w:tabs>
                <w:tab w:val="left" w:pos="4452"/>
              </w:tabs>
              <w:spacing w:after="156" w:afterLines="50" w:line="5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序号</w:t>
            </w:r>
          </w:p>
        </w:tc>
        <w:tc>
          <w:tcPr>
            <w:tcW w:w="1789" w:type="dxa"/>
            <w:vAlign w:val="center"/>
          </w:tcPr>
          <w:p>
            <w:pPr>
              <w:pStyle w:val="2"/>
              <w:tabs>
                <w:tab w:val="left" w:pos="4452"/>
              </w:tabs>
              <w:spacing w:after="156" w:afterLines="50" w:line="5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项目</w:t>
            </w:r>
          </w:p>
        </w:tc>
        <w:tc>
          <w:tcPr>
            <w:tcW w:w="6164" w:type="dxa"/>
            <w:vAlign w:val="center"/>
          </w:tcPr>
          <w:p>
            <w:pPr>
              <w:pStyle w:val="2"/>
              <w:tabs>
                <w:tab w:val="left" w:pos="4452"/>
              </w:tabs>
              <w:spacing w:after="156" w:afterLines="50" w:line="5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55" w:type="dxa"/>
            <w:vAlign w:val="center"/>
          </w:tcPr>
          <w:p>
            <w:pPr>
              <w:pStyle w:val="2"/>
              <w:tabs>
                <w:tab w:val="left" w:pos="4452"/>
              </w:tabs>
              <w:spacing w:after="156" w:afterLines="50" w:line="5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789" w:type="dxa"/>
            <w:vAlign w:val="center"/>
          </w:tcPr>
          <w:p>
            <w:pPr>
              <w:pStyle w:val="2"/>
              <w:tabs>
                <w:tab w:val="left" w:pos="4452"/>
              </w:tabs>
              <w:spacing w:after="156" w:afterLines="50" w:line="5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招标编号</w:t>
            </w:r>
          </w:p>
        </w:tc>
        <w:tc>
          <w:tcPr>
            <w:tcW w:w="6164" w:type="dxa"/>
            <w:vAlign w:val="top"/>
          </w:tcPr>
          <w:p>
            <w:pPr>
              <w:pStyle w:val="2"/>
              <w:tabs>
                <w:tab w:val="left" w:pos="4452"/>
              </w:tabs>
              <w:spacing w:after="156" w:afterLines="50" w:line="5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fldChar w:fldCharType="begin"/>
            </w:r>
            <w:r>
              <w:rPr>
                <w:rFonts w:hint="eastAsia" w:eastAsia="仿宋_GB2312"/>
                <w:sz w:val="24"/>
                <w:lang w:val="en-US" w:eastAsia="zh-CN"/>
              </w:rPr>
              <w:instrText xml:space="preserve"> HYPERLINK "https://jc.yzw.cn/TenderMgt/Tender/Detail?SysNo=1601485" \t "https://jc.yzw.cn/TenderMgt/Tender/_blank" </w:instrText>
            </w:r>
            <w:r>
              <w:rPr>
                <w:rFonts w:hint="eastAsia" w:eastAsia="仿宋_GB2312"/>
                <w:sz w:val="24"/>
                <w:lang w:val="en-US" w:eastAsia="zh-CN"/>
              </w:rPr>
              <w:fldChar w:fldCharType="separate"/>
            </w:r>
            <w:r>
              <w:rPr>
                <w:rFonts w:hint="default" w:eastAsia="仿宋_GB2312"/>
                <w:sz w:val="24"/>
                <w:lang w:val="en-US" w:eastAsia="zh-CN"/>
              </w:rPr>
              <w:t>cscec19120800095</w:t>
            </w:r>
            <w:r>
              <w:rPr>
                <w:rFonts w:hint="default" w:eastAsia="仿宋_GB2312"/>
                <w:sz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5" w:type="dxa"/>
            <w:vAlign w:val="center"/>
          </w:tcPr>
          <w:p>
            <w:pPr>
              <w:pStyle w:val="2"/>
              <w:tabs>
                <w:tab w:val="left" w:pos="4452"/>
              </w:tabs>
              <w:spacing w:after="156" w:afterLines="50" w:line="5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789" w:type="dxa"/>
            <w:vAlign w:val="center"/>
          </w:tcPr>
          <w:p>
            <w:pPr>
              <w:pStyle w:val="2"/>
              <w:tabs>
                <w:tab w:val="left" w:pos="4452"/>
              </w:tabs>
              <w:spacing w:after="156" w:afterLines="50" w:line="5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招标方</w:t>
            </w:r>
          </w:p>
        </w:tc>
        <w:tc>
          <w:tcPr>
            <w:tcW w:w="6164" w:type="dxa"/>
            <w:vAlign w:val="top"/>
          </w:tcPr>
          <w:p>
            <w:pPr>
              <w:pStyle w:val="2"/>
              <w:tabs>
                <w:tab w:val="left" w:pos="4452"/>
              </w:tabs>
              <w:spacing w:after="156" w:afterLines="50" w:line="500" w:lineRule="exact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中建海峡建设发展有限公司机电安装工程公司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5" w:type="dxa"/>
            <w:vAlign w:val="center"/>
          </w:tcPr>
          <w:p>
            <w:pPr>
              <w:pStyle w:val="2"/>
              <w:tabs>
                <w:tab w:val="left" w:pos="4452"/>
              </w:tabs>
              <w:spacing w:after="156" w:afterLines="50" w:line="5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789" w:type="dxa"/>
            <w:vAlign w:val="center"/>
          </w:tcPr>
          <w:p>
            <w:pPr>
              <w:pStyle w:val="2"/>
              <w:tabs>
                <w:tab w:val="left" w:pos="4452"/>
              </w:tabs>
              <w:spacing w:after="156" w:afterLines="50" w:line="5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招标方式</w:t>
            </w:r>
          </w:p>
        </w:tc>
        <w:tc>
          <w:tcPr>
            <w:tcW w:w="6164" w:type="dxa"/>
            <w:vAlign w:val="top"/>
          </w:tcPr>
          <w:p>
            <w:pPr>
              <w:pStyle w:val="2"/>
              <w:tabs>
                <w:tab w:val="left" w:pos="4452"/>
              </w:tabs>
              <w:spacing w:after="156" w:afterLines="50" w:line="500" w:lineRule="exact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公开招标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  <w:jc w:val="center"/>
        </w:trPr>
        <w:tc>
          <w:tcPr>
            <w:tcW w:w="755" w:type="dxa"/>
            <w:vAlign w:val="center"/>
          </w:tcPr>
          <w:p>
            <w:pPr>
              <w:pStyle w:val="2"/>
              <w:tabs>
                <w:tab w:val="left" w:pos="4452"/>
              </w:tabs>
              <w:spacing w:after="156" w:afterLines="50" w:line="5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789" w:type="dxa"/>
            <w:vAlign w:val="center"/>
          </w:tcPr>
          <w:p>
            <w:pPr>
              <w:pStyle w:val="2"/>
              <w:tabs>
                <w:tab w:val="left" w:pos="4452"/>
              </w:tabs>
              <w:spacing w:after="156" w:afterLines="50" w:line="5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招标内容</w:t>
            </w:r>
          </w:p>
        </w:tc>
        <w:tc>
          <w:tcPr>
            <w:tcW w:w="616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物资名称、品牌、规格型号、数量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货物名称：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装饰装修材料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规格型号、数量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详见清单 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供货周期以购货通知书为准。</w:t>
            </w:r>
          </w:p>
          <w:p>
            <w:pPr>
              <w:widowControl w:val="0"/>
              <w:numPr>
                <w:ilvl w:val="0"/>
                <w:numId w:val="1"/>
              </w:numPr>
              <w:wordWrap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结算及支付：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自合同签订之日乙方开始备货, 乙方根据甲方要求时间供货，以购货通知书为准。甲方现场验收计量，乙方每月20日凭甲方开具的收料单与甲方办理当月“中间结算”。当月“中间结算”办理前乙方应提供当月对账单一份，由甲方项目部材料员、商务经理核对后，经项目经理签字并盖项目部章确认。货到现场后经甲方指定人员签字验收合格后30天内，甲方支付乙方已进场的全部货款的</w:t>
            </w:r>
            <w:r>
              <w:rPr>
                <w:rFonts w:hint="eastAsia" w:cs="仿宋"/>
                <w:bCs/>
                <w:color w:val="00000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%，待安装调试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竣工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验收合格后付至该批货款的9</w:t>
            </w:r>
            <w:r>
              <w:rPr>
                <w:rFonts w:hint="eastAsia" w:cs="仿宋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%，余</w:t>
            </w:r>
            <w:r>
              <w:rPr>
                <w:rFonts w:hint="eastAsia" w:cs="仿宋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%待维保结束后一次性结清。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beforeLines="0" w:after="0" w:afterLines="0" w:line="240" w:lineRule="auto"/>
              <w:ind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支付方式：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甲方采用银行转账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银行承兑汇票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或保理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方式支付货款。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4、每批次货款支付前，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供方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必须向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出具等额合法有效且与实际供货内容一致的材料增值税专用发票，否则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有权拒绝结清货款。</w:t>
            </w:r>
          </w:p>
          <w:p>
            <w:pPr>
              <w:widowControl w:val="0"/>
              <w:wordWrap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报价应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val="en-US" w:eastAsia="zh-CN"/>
              </w:rPr>
              <w:t>含材料费、辅材、装车/卸车费、管理费、利润、13%增值税专用发票税率及完成交付使用所需的一切费用。</w:t>
            </w:r>
          </w:p>
          <w:p>
            <w:pPr>
              <w:widowControl w:val="0"/>
              <w:wordWrap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highlight w:val="none"/>
                <w:lang w:val="en-US" w:eastAsia="zh-CN"/>
              </w:rPr>
              <w:t>6、技术质量要求：进场的物资必须符合国家标准和行业标准及甲方提出的参数要求，所提供材料必须严格按照合同清单要求，如发生质量问题，乙方包退、包换，确保进场材料质量合格率100%，并须在材料进场的同时提供材料的质量检验部门的产品材质证明书（甲方有权对所采购的材料进行进一步检测），且材质证明书内容要和现场进料单及标牌所标明内容相对应。</w:t>
            </w:r>
          </w:p>
          <w:p>
            <w:pPr>
              <w:spacing w:line="240" w:lineRule="auto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7、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投标保证金壹万元，以转账形式交纳至招标单位</w:t>
            </w:r>
          </w:p>
          <w:p>
            <w:pPr>
              <w:spacing w:line="240" w:lineRule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8、技术要求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1、要求供应商为厂商、经销商或贸易商</w:t>
            </w:r>
          </w:p>
          <w:p>
            <w:pPr>
              <w:numPr>
                <w:ilvl w:val="0"/>
                <w:numId w:val="0"/>
              </w:numP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2、为中建海峡建设发展有限公司合格名录内</w:t>
            </w:r>
          </w:p>
          <w:p>
            <w:pPr>
              <w:jc w:val="both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3、品牌要求：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顶板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材料：协多利、捷能、辰峰；金属壁板：协多利、捷能、辰峰、言信；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铝型材：伟业、南山、吉丰；净化门、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窗：协多利、捷能、辰峰;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传递窗、风淋室：柏本洁净、苏净、亚琛洁净；中性硅胶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:道康宁、西卡、巴斯夫;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综合钢支架、检修马道（成品C型钢）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>:昌兴、安荣、中鹏</w:t>
            </w:r>
            <w:r>
              <w:rPr>
                <w:rFonts w:hint="eastAsia" w:cs="仿宋"/>
                <w:sz w:val="24"/>
                <w:szCs w:val="24"/>
                <w:lang w:val="en-US" w:eastAsia="zh-CN" w:bidi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5" w:type="dxa"/>
            <w:vAlign w:val="center"/>
          </w:tcPr>
          <w:p>
            <w:pPr>
              <w:pStyle w:val="2"/>
              <w:tabs>
                <w:tab w:val="left" w:pos="4452"/>
              </w:tabs>
              <w:spacing w:after="156" w:afterLines="50" w:line="5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789" w:type="dxa"/>
            <w:vAlign w:val="center"/>
          </w:tcPr>
          <w:p>
            <w:pPr>
              <w:pStyle w:val="2"/>
              <w:tabs>
                <w:tab w:val="left" w:pos="4452"/>
              </w:tabs>
              <w:spacing w:after="156" w:afterLines="50" w:line="5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报名开始时间</w:t>
            </w:r>
          </w:p>
        </w:tc>
        <w:tc>
          <w:tcPr>
            <w:tcW w:w="6164" w:type="dxa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日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5" w:type="dxa"/>
            <w:vAlign w:val="center"/>
          </w:tcPr>
          <w:p>
            <w:pPr>
              <w:pStyle w:val="2"/>
              <w:tabs>
                <w:tab w:val="left" w:pos="4452"/>
              </w:tabs>
              <w:spacing w:after="156" w:afterLines="50" w:line="5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789" w:type="dxa"/>
            <w:vAlign w:val="center"/>
          </w:tcPr>
          <w:p>
            <w:pPr>
              <w:pStyle w:val="2"/>
              <w:tabs>
                <w:tab w:val="left" w:pos="4452"/>
              </w:tabs>
              <w:spacing w:after="156" w:afterLines="50" w:line="5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报名截止时间</w:t>
            </w:r>
          </w:p>
        </w:tc>
        <w:tc>
          <w:tcPr>
            <w:tcW w:w="6164" w:type="dxa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网上投标和纸质标书递交截止时间：201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日</w:t>
            </w:r>
          </w:p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15:00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55" w:type="dxa"/>
            <w:vAlign w:val="center"/>
          </w:tcPr>
          <w:p>
            <w:pPr>
              <w:pStyle w:val="2"/>
              <w:tabs>
                <w:tab w:val="left" w:pos="4452"/>
              </w:tabs>
              <w:spacing w:after="156" w:afterLines="50" w:line="5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1789" w:type="dxa"/>
            <w:vAlign w:val="center"/>
          </w:tcPr>
          <w:p>
            <w:pPr>
              <w:pStyle w:val="2"/>
              <w:spacing w:line="360" w:lineRule="exact"/>
              <w:ind w:left="720" w:hanging="720" w:hangingChars="3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联系地址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/邮编</w:t>
            </w:r>
          </w:p>
        </w:tc>
        <w:tc>
          <w:tcPr>
            <w:tcW w:w="6164" w:type="dxa"/>
            <w:vAlign w:val="center"/>
          </w:tcPr>
          <w:p>
            <w:pPr>
              <w:pStyle w:val="2"/>
              <w:tabs>
                <w:tab w:val="left" w:pos="4452"/>
              </w:tabs>
              <w:spacing w:after="156" w:afterLines="50" w:line="500" w:lineRule="exact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福州市马尾区儒江西路</w:t>
            </w:r>
            <w:r>
              <w:rPr>
                <w:rFonts w:hint="eastAsia" w:eastAsia="仿宋_GB2312"/>
                <w:sz w:val="24"/>
                <w:lang w:val="en-US" w:eastAsia="zh-CN"/>
              </w:rPr>
              <w:t>60号    邮编：350000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55" w:type="dxa"/>
            <w:vAlign w:val="center"/>
          </w:tcPr>
          <w:p>
            <w:pPr>
              <w:pStyle w:val="2"/>
              <w:tabs>
                <w:tab w:val="left" w:pos="4452"/>
              </w:tabs>
              <w:spacing w:after="156" w:afterLines="50" w:line="5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1789" w:type="dxa"/>
            <w:vAlign w:val="center"/>
          </w:tcPr>
          <w:p>
            <w:pPr>
              <w:pStyle w:val="2"/>
              <w:tabs>
                <w:tab w:val="left" w:pos="4452"/>
              </w:tabs>
              <w:spacing w:after="156" w:afterLines="50" w:line="5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联系人</w:t>
            </w:r>
          </w:p>
        </w:tc>
        <w:tc>
          <w:tcPr>
            <w:tcW w:w="6164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廖亚莎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55" w:type="dxa"/>
            <w:vAlign w:val="center"/>
          </w:tcPr>
          <w:p>
            <w:pPr>
              <w:pStyle w:val="2"/>
              <w:tabs>
                <w:tab w:val="left" w:pos="4452"/>
              </w:tabs>
              <w:spacing w:after="156" w:afterLines="50" w:line="5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1789" w:type="dxa"/>
            <w:vAlign w:val="center"/>
          </w:tcPr>
          <w:p>
            <w:pPr>
              <w:pStyle w:val="2"/>
              <w:tabs>
                <w:tab w:val="left" w:pos="4452"/>
              </w:tabs>
              <w:spacing w:after="156" w:afterLines="50" w:line="5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6164" w:type="dxa"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18559158943</w:t>
            </w:r>
          </w:p>
        </w:tc>
      </w:tr>
    </w:tbl>
    <w:p>
      <w:pPr>
        <w:ind w:left="62" w:leftChars="-200" w:hanging="482" w:hangingChars="200"/>
        <w:jc w:val="center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ind w:left="62" w:leftChars="-200" w:hanging="482" w:hangingChars="200"/>
        <w:jc w:val="center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ind w:left="62" w:leftChars="-200" w:hanging="482" w:hangingChars="200"/>
        <w:jc w:val="center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ind w:left="62" w:leftChars="-200" w:hanging="482" w:hangingChars="200"/>
        <w:jc w:val="center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ind w:left="62" w:leftChars="-200" w:hanging="482" w:hangingChars="200"/>
        <w:jc w:val="center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ind w:left="62" w:leftChars="-200" w:hanging="482" w:hangingChars="200"/>
        <w:jc w:val="center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ind w:left="62" w:leftChars="-200" w:hanging="482" w:hangingChars="200"/>
        <w:jc w:val="center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ind w:left="62" w:leftChars="-200" w:hanging="482" w:hangingChars="200"/>
        <w:jc w:val="center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ind w:left="62" w:leftChars="-200" w:hanging="482" w:hangingChars="200"/>
        <w:jc w:val="center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ind w:left="62" w:leftChars="-200" w:hanging="482" w:hangingChars="200"/>
        <w:jc w:val="center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ind w:left="62" w:leftChars="-200" w:hanging="482" w:hangingChars="200"/>
        <w:jc w:val="center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ind w:left="62" w:leftChars="-200" w:hanging="482" w:hangingChars="200"/>
        <w:jc w:val="center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ind w:left="62" w:leftChars="-200" w:hanging="482" w:hangingChars="200"/>
        <w:jc w:val="center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ind w:left="62" w:leftChars="-200" w:hanging="482" w:hangingChars="200"/>
        <w:jc w:val="center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ind w:left="62" w:leftChars="-200" w:hanging="482" w:hangingChars="200"/>
        <w:jc w:val="center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ind w:left="62" w:leftChars="-200" w:hanging="482" w:hangingChars="200"/>
        <w:jc w:val="center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ind w:left="62" w:leftChars="-200" w:hanging="482" w:hangingChars="200"/>
        <w:jc w:val="center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ind w:left="62" w:leftChars="-200" w:hanging="482" w:hangingChars="200"/>
        <w:jc w:val="center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ind w:left="62" w:leftChars="-200" w:hanging="482" w:hangingChars="200"/>
        <w:jc w:val="center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ind w:left="62" w:leftChars="-200" w:hanging="482" w:hangingChars="200"/>
        <w:jc w:val="center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ind w:left="62" w:leftChars="-200" w:hanging="482" w:hangingChars="200"/>
        <w:jc w:val="center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ind w:left="62" w:leftChars="-200" w:hanging="482" w:hangingChars="200"/>
        <w:jc w:val="center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ind w:left="62" w:leftChars="-200" w:hanging="482" w:hangingChars="200"/>
        <w:jc w:val="center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ind w:left="62" w:leftChars="-200" w:hanging="482" w:hangingChars="200"/>
        <w:jc w:val="center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ind w:left="62" w:leftChars="-200" w:hanging="482" w:hangingChars="200"/>
        <w:jc w:val="center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ind w:left="62" w:leftChars="-200" w:hanging="482" w:hangingChars="200"/>
        <w:jc w:val="center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ind w:left="62" w:leftChars="-200" w:hanging="482" w:hangingChars="200"/>
        <w:jc w:val="center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ind w:left="62" w:leftChars="-200" w:hanging="482" w:hangingChars="200"/>
        <w:jc w:val="center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jc w:val="both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&amp;quot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FCE8A"/>
    <w:multiLevelType w:val="singleLevel"/>
    <w:tmpl w:val="5B0FCE8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E6175"/>
    <w:rsid w:val="023C74CC"/>
    <w:rsid w:val="033D0EE0"/>
    <w:rsid w:val="079221D3"/>
    <w:rsid w:val="0D161186"/>
    <w:rsid w:val="0F7E6862"/>
    <w:rsid w:val="0F93493C"/>
    <w:rsid w:val="10660F11"/>
    <w:rsid w:val="10923E35"/>
    <w:rsid w:val="13992784"/>
    <w:rsid w:val="13E81B07"/>
    <w:rsid w:val="14DC35B0"/>
    <w:rsid w:val="1DA87E0A"/>
    <w:rsid w:val="234F5795"/>
    <w:rsid w:val="237A3CA0"/>
    <w:rsid w:val="23DD39A2"/>
    <w:rsid w:val="25DB2C85"/>
    <w:rsid w:val="27811378"/>
    <w:rsid w:val="28447AEE"/>
    <w:rsid w:val="289A6ADE"/>
    <w:rsid w:val="2A520DDC"/>
    <w:rsid w:val="2B0F75A8"/>
    <w:rsid w:val="2FAE1449"/>
    <w:rsid w:val="34F30169"/>
    <w:rsid w:val="35E5714F"/>
    <w:rsid w:val="360F3D70"/>
    <w:rsid w:val="36BB51E0"/>
    <w:rsid w:val="3F865CFD"/>
    <w:rsid w:val="41166C51"/>
    <w:rsid w:val="463C4EBC"/>
    <w:rsid w:val="48225AA0"/>
    <w:rsid w:val="4C551B2B"/>
    <w:rsid w:val="4E2800C1"/>
    <w:rsid w:val="509607BD"/>
    <w:rsid w:val="51C359B4"/>
    <w:rsid w:val="54790720"/>
    <w:rsid w:val="548B1F4B"/>
    <w:rsid w:val="592C01ED"/>
    <w:rsid w:val="5A846876"/>
    <w:rsid w:val="5BC9414D"/>
    <w:rsid w:val="5C075769"/>
    <w:rsid w:val="5D6E403B"/>
    <w:rsid w:val="63DF1976"/>
    <w:rsid w:val="640B3B6F"/>
    <w:rsid w:val="65AA4EE2"/>
    <w:rsid w:val="67B5785E"/>
    <w:rsid w:val="69022DC8"/>
    <w:rsid w:val="6AEE3A7E"/>
    <w:rsid w:val="6FF92654"/>
    <w:rsid w:val="72045C2D"/>
    <w:rsid w:val="755B1C9C"/>
    <w:rsid w:val="7C80454A"/>
    <w:rsid w:val="7E812EC7"/>
    <w:rsid w:val="7F523BD0"/>
    <w:rsid w:val="7F67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Cs w:val="20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laijinzhi</cp:lastModifiedBy>
  <dcterms:modified xsi:type="dcterms:W3CDTF">2019-12-08T02:17:21Z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