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0" w:afterAutospacing="0"/>
        <w:jc w:val="center"/>
        <w:rPr>
          <w:rFonts w:cs="Arial"/>
          <w:b/>
          <w:bCs/>
          <w:sz w:val="44"/>
          <w:szCs w:val="44"/>
          <w:u w:val="single"/>
        </w:rPr>
      </w:pPr>
      <w:r>
        <w:rPr>
          <w:rStyle w:val="9"/>
          <w:rFonts w:hint="eastAsia" w:cs="Arial"/>
          <w:sz w:val="44"/>
          <w:szCs w:val="44"/>
          <w:u w:val="single"/>
        </w:rPr>
        <w:t>烟道</w:t>
      </w:r>
      <w:r>
        <w:rPr>
          <w:rStyle w:val="9"/>
          <w:rFonts w:hint="eastAsia" w:cs="Arial"/>
          <w:sz w:val="44"/>
          <w:szCs w:val="44"/>
        </w:rPr>
        <w:t>采购招标公告</w:t>
      </w:r>
    </w:p>
    <w:p>
      <w:pPr>
        <w:pStyle w:val="5"/>
        <w:spacing w:before="0" w:beforeAutospacing="0" w:after="0" w:afterAutospacing="0" w:line="405" w:lineRule="atLeast"/>
        <w:ind w:left="210" w:leftChars="100" w:firstLine="480" w:firstLineChars="200"/>
        <w:rPr>
          <w:rFonts w:cs="Arial"/>
        </w:rPr>
      </w:pPr>
    </w:p>
    <w:p>
      <w:pPr>
        <w:pStyle w:val="5"/>
        <w:adjustRightInd w:val="0"/>
        <w:snapToGrid w:val="0"/>
        <w:spacing w:before="0" w:beforeAutospacing="0" w:after="0" w:afterAutospacing="0" w:line="360" w:lineRule="auto"/>
        <w:ind w:left="210" w:leftChars="100" w:firstLine="480" w:firstLineChars="200"/>
        <w:contextualSpacing/>
        <w:rPr>
          <w:rFonts w:cs="Arial"/>
          <w:u w:val="single"/>
        </w:rPr>
      </w:pPr>
      <w:r>
        <w:rPr>
          <w:rFonts w:hint="eastAsia" w:cs="Arial"/>
        </w:rPr>
        <w:t>中建八局第三建设有限公司</w:t>
      </w:r>
      <w:r>
        <w:rPr>
          <w:rFonts w:hint="eastAsia" w:cs="Arial"/>
          <w:u w:val="single"/>
        </w:rPr>
        <w:t xml:space="preserve"> </w:t>
      </w:r>
      <w:r>
        <w:rPr>
          <w:rFonts w:cs="Arial"/>
          <w:u w:val="single"/>
        </w:rPr>
        <w:t>南京</w:t>
      </w:r>
      <w:r>
        <w:rPr>
          <w:rFonts w:hint="eastAsia" w:cs="Arial"/>
          <w:u w:val="single"/>
        </w:rPr>
        <w:t xml:space="preserve"> </w:t>
      </w:r>
      <w:r>
        <w:rPr>
          <w:rFonts w:hint="eastAsia" w:cs="Arial"/>
        </w:rPr>
        <w:t>公司</w:t>
      </w:r>
      <w:r>
        <w:rPr>
          <w:rFonts w:hint="eastAsia" w:cs="Arial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666666"/>
          <w:u w:val="single"/>
        </w:rPr>
        <w:t>马家店保障房AD 地块</w:t>
      </w:r>
      <w:r>
        <w:rPr>
          <w:rFonts w:hint="eastAsia" w:cs="Arial"/>
          <w:u w:val="single"/>
        </w:rPr>
        <w:t xml:space="preserve"> </w:t>
      </w:r>
      <w:r>
        <w:rPr>
          <w:rFonts w:hint="eastAsia" w:cs="Arial"/>
        </w:rPr>
        <w:t xml:space="preserve">项目,现对该区域/项目的 </w:t>
      </w:r>
      <w:r>
        <w:rPr>
          <w:rFonts w:hint="eastAsia" w:cs="Arial"/>
          <w:u w:val="single"/>
        </w:rPr>
        <w:t xml:space="preserve"> 烟道 </w:t>
      </w:r>
      <w:r>
        <w:rPr>
          <w:rFonts w:hint="eastAsia" w:cs="Arial"/>
        </w:rPr>
        <w:t>进行公开招标，择优选定供应/租赁单位。</w:t>
      </w:r>
      <w:r>
        <w:rPr>
          <w:b/>
          <w:bCs/>
        </w:rPr>
        <w:t>（详见附件清单招标规格和数量及具体要求）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9"/>
          <w:rFonts w:hint="eastAsia" w:cs="Arial"/>
        </w:rPr>
        <w:t>一、招标单位：</w:t>
      </w:r>
      <w:r>
        <w:rPr>
          <w:rFonts w:hint="eastAsia" w:cs="Arial"/>
        </w:rPr>
        <w:t>中建八局第三建设有限公司</w:t>
      </w:r>
      <w:r>
        <w:rPr>
          <w:rFonts w:hint="eastAsia" w:cs="Arial"/>
          <w:u w:val="single"/>
        </w:rPr>
        <w:t xml:space="preserve"> </w:t>
      </w:r>
      <w:r>
        <w:rPr>
          <w:rFonts w:cs="Arial"/>
          <w:u w:val="single"/>
        </w:rPr>
        <w:t>南京</w:t>
      </w:r>
      <w:r>
        <w:rPr>
          <w:rFonts w:hint="eastAsia" w:cs="Arial"/>
          <w:u w:val="single"/>
        </w:rPr>
        <w:t xml:space="preserve"> </w:t>
      </w:r>
      <w:r>
        <w:rPr>
          <w:rFonts w:hint="eastAsia" w:cs="Arial"/>
        </w:rPr>
        <w:t>公司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Style w:val="9"/>
          <w:rFonts w:cs="Arial"/>
        </w:rPr>
      </w:pPr>
      <w:r>
        <w:rPr>
          <w:rStyle w:val="9"/>
          <w:rFonts w:hint="eastAsia" w:cs="Arial"/>
        </w:rPr>
        <w:t>二、项目概况与招标内容</w:t>
      </w:r>
    </w:p>
    <w:p>
      <w:pPr>
        <w:pStyle w:val="5"/>
        <w:shd w:val="clear" w:color="auto" w:fill="FFFFFF"/>
        <w:spacing w:before="0" w:beforeAutospacing="0" w:after="0" w:afterAutospacing="0" w:line="360" w:lineRule="atLeast"/>
        <w:ind w:firstLine="480"/>
        <w:rPr>
          <w:rFonts w:cs="Arial"/>
        </w:rPr>
      </w:pPr>
      <w:r>
        <w:rPr>
          <w:rFonts w:hint="eastAsia" w:cs="Arial"/>
        </w:rPr>
        <w:t>1、工程名称：</w:t>
      </w:r>
      <w:r>
        <w:rPr>
          <w:rFonts w:hint="eastAsia" w:cs="Arial"/>
          <w:lang w:val="zh-CN"/>
        </w:rPr>
        <w:t>马家店保障性住房项目A、D地块住宅、集中商业、幼儿园土建及水电安装工程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2、建设地点：</w:t>
      </w:r>
      <w:r>
        <w:rPr>
          <w:rFonts w:hint="eastAsia" w:cs="Arial"/>
          <w:lang w:val="zh-CN"/>
        </w:rPr>
        <w:t>南京雨花台区铁心桥大定坊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70" w:firstLineChars="196"/>
        <w:contextualSpacing/>
        <w:rPr>
          <w:rFonts w:cs="Arial"/>
        </w:rPr>
      </w:pPr>
      <w:r>
        <w:rPr>
          <w:rFonts w:hint="eastAsia" w:cs="Arial"/>
        </w:rPr>
        <w:t>3、建筑面积：18.4</w:t>
      </w:r>
      <w:r>
        <w:rPr>
          <w:rFonts w:hint="eastAsia" w:cs="Arial"/>
          <w:lang w:val="zh-CN"/>
        </w:rPr>
        <w:t xml:space="preserve"> 万</w:t>
      </w:r>
      <w:r>
        <w:rPr>
          <w:rFonts w:hint="eastAsia" w:cs="Arial"/>
        </w:rPr>
        <w:t>㎡</w:t>
      </w:r>
    </w:p>
    <w:tbl>
      <w:tblPr>
        <w:tblStyle w:val="7"/>
        <w:tblpPr w:leftFromText="180" w:rightFromText="180" w:vertAnchor="text" w:horzAnchor="page" w:tblpX="2574" w:tblpY="66"/>
        <w:tblW w:w="8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584"/>
        <w:gridCol w:w="1115"/>
        <w:gridCol w:w="1481"/>
        <w:gridCol w:w="697"/>
        <w:gridCol w:w="1297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序号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材料/设备名称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规格型号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品牌/厂家</w:t>
            </w:r>
          </w:p>
        </w:tc>
        <w:tc>
          <w:tcPr>
            <w:tcW w:w="6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单位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计划数量</w:t>
            </w:r>
          </w:p>
        </w:tc>
        <w:tc>
          <w:tcPr>
            <w:tcW w:w="1272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6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1</w:t>
            </w:r>
          </w:p>
        </w:tc>
        <w:tc>
          <w:tcPr>
            <w:tcW w:w="1584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烟道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500*400</w:t>
            </w:r>
          </w:p>
        </w:tc>
        <w:tc>
          <w:tcPr>
            <w:tcW w:w="1481" w:type="dxa"/>
            <w:vAlign w:val="center"/>
          </w:tcPr>
          <w:p>
            <w:pPr>
              <w:widowControl/>
              <w:spacing w:line="360" w:lineRule="auto"/>
              <w:rPr>
                <w:rFonts w:ascii="宋体" w:hAnsi="宋体"/>
                <w:kern w:val="0"/>
              </w:rPr>
            </w:pPr>
          </w:p>
        </w:tc>
        <w:tc>
          <w:tcPr>
            <w:tcW w:w="6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米</w:t>
            </w:r>
          </w:p>
        </w:tc>
        <w:tc>
          <w:tcPr>
            <w:tcW w:w="129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4000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/>
                <w:kern w:val="0"/>
              </w:rPr>
              <w:t>含风帽</w:t>
            </w:r>
          </w:p>
        </w:tc>
      </w:tr>
    </w:tbl>
    <w:p>
      <w:pPr>
        <w:widowControl/>
        <w:spacing w:line="360" w:lineRule="auto"/>
        <w:jc w:val="center"/>
        <w:rPr>
          <w:rFonts w:cs="Arial"/>
        </w:rPr>
      </w:pP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cs="Arial"/>
        </w:rPr>
        <w:t>4</w:t>
      </w:r>
      <w:r>
        <w:rPr>
          <w:rFonts w:hint="eastAsia" w:cs="Arial"/>
        </w:rPr>
        <w:t>、招标内容：</w:t>
      </w:r>
      <w:r>
        <w:rPr>
          <w:rFonts w:hint="eastAsia"/>
        </w:rPr>
        <w:t>烟道招标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cs="Arial"/>
        </w:rPr>
      </w:pPr>
      <w:r>
        <w:rPr>
          <w:rFonts w:hint="eastAsia" w:cs="Arial"/>
        </w:rPr>
        <w:t>5、物资设备计划进场日期：</w:t>
      </w:r>
      <w:r>
        <w:rPr>
          <w:rFonts w:cs="Arial"/>
        </w:rPr>
        <w:t>2020.</w:t>
      </w:r>
      <w:r>
        <w:rPr>
          <w:rFonts w:hint="eastAsia" w:cs="Arial"/>
          <w:lang w:val="en-US" w:eastAsia="zh-CN"/>
        </w:rPr>
        <w:t>8</w:t>
      </w:r>
    </w:p>
    <w:p>
      <w:pPr>
        <w:pStyle w:val="5"/>
        <w:adjustRightInd w:val="0"/>
        <w:snapToGrid w:val="0"/>
        <w:spacing w:before="75" w:beforeAutospacing="0" w:after="240" w:afterAutospacing="0" w:line="360" w:lineRule="auto"/>
        <w:ind w:firstLine="480" w:firstLineChars="200"/>
        <w:contextualSpacing/>
        <w:rPr>
          <w:rFonts w:cs="Arial"/>
          <w:highlight w:val="yellow"/>
        </w:rPr>
      </w:pPr>
      <w:r>
        <w:rPr>
          <w:rFonts w:hint="eastAsia" w:cs="Arial"/>
        </w:rPr>
        <w:t>6、质量要求：</w:t>
      </w:r>
      <w:r>
        <w:rPr>
          <w:rFonts w:hint="eastAsia" w:cs="Arial"/>
          <w:highlight w:val="yellow"/>
        </w:rPr>
        <w:t>烟道</w:t>
      </w:r>
      <w:r>
        <w:rPr>
          <w:highlight w:val="yellow"/>
        </w:rPr>
        <w:t>满足</w:t>
      </w:r>
      <w:r>
        <w:rPr>
          <w:rFonts w:hint="eastAsia"/>
          <w:highlight w:val="yellow"/>
        </w:rPr>
        <w:t>国标16J916-1</w:t>
      </w:r>
      <w:r>
        <w:rPr>
          <w:highlight w:val="yellow"/>
        </w:rPr>
        <w:t>国家验收标准</w:t>
      </w:r>
      <w:r>
        <w:rPr>
          <w:rFonts w:hint="eastAsia"/>
          <w:highlight w:val="yellow"/>
        </w:rPr>
        <w:t>，</w:t>
      </w:r>
      <w:r>
        <w:rPr>
          <w:highlight w:val="yellow"/>
        </w:rPr>
        <w:t>烟道排气道型号为A-C-</w:t>
      </w:r>
      <w:r>
        <w:rPr>
          <w:rFonts w:hint="eastAsia"/>
          <w:highlight w:val="yellow"/>
        </w:rPr>
        <w:t>33</w:t>
      </w:r>
      <w:r>
        <w:rPr>
          <w:highlight w:val="yellow"/>
        </w:rPr>
        <w:t>，厚度为15mm，风帽型号A-C-φ600，配套的BPS型止回阀有侧式和自控式两种可供选择。厨房排烟道应满足本工程建筑设计说明中国家标准设计图集《住宅排气道（一）》16J916-1总说明4.2.3 排气道制品耐火极限应大于等于1h，进风口接口件耐火极限大于等于1.0h。防火配件的耐火极限等性能指标应符合现行标准《排油烟气防火止回阀》GA/T 798的要求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Fonts w:hint="default" w:eastAsia="宋体" w:cs="Arial"/>
          <w:highlight w:val="yellow"/>
          <w:lang w:val="en-US" w:eastAsia="zh-CN"/>
        </w:rPr>
      </w:pPr>
      <w:r>
        <w:rPr>
          <w:rFonts w:hint="eastAsia" w:cs="Arial"/>
          <w:highlight w:val="yellow"/>
        </w:rPr>
        <w:t>7、其他要求：</w:t>
      </w:r>
      <w:r>
        <w:rPr>
          <w:rFonts w:hint="eastAsia" w:cs="Arial"/>
          <w:highlight w:val="yellow"/>
          <w:lang w:val="en-US" w:eastAsia="zh-CN"/>
        </w:rPr>
        <w:t>技术要求:标准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Style w:val="9"/>
        </w:rPr>
      </w:pPr>
      <w:r>
        <w:rPr>
          <w:rStyle w:val="9"/>
          <w:rFonts w:hint="eastAsia" w:cs="Arial"/>
        </w:rPr>
        <w:t>三</w:t>
      </w:r>
      <w:r>
        <w:rPr>
          <w:rFonts w:hint="eastAsia" w:cs="Arial"/>
        </w:rPr>
        <w:t>、</w:t>
      </w:r>
      <w:r>
        <w:rPr>
          <w:rStyle w:val="9"/>
          <w:rFonts w:hint="eastAsia" w:cs="Arial"/>
        </w:rPr>
        <w:t>报名方式：</w:t>
      </w:r>
      <w:r>
        <w:rPr>
          <w:rStyle w:val="9"/>
          <w:rFonts w:hint="eastAsia"/>
        </w:rPr>
        <w:t xml:space="preserve"> 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70" w:firstLineChars="196"/>
        <w:contextualSpacing/>
        <w:rPr>
          <w:b/>
          <w:bCs/>
        </w:rPr>
      </w:pPr>
      <w:r>
        <w:rPr>
          <w:rFonts w:hint="eastAsia" w:cs="Arial"/>
        </w:rPr>
        <w:t>1、报名方式：采取网上报名方式，通过“云筑网”上进行报名（网址</w:t>
      </w:r>
      <w:r>
        <w:rPr>
          <w:rFonts w:cs="Arial"/>
        </w:rPr>
        <w:t>https://www.yzw.cn/</w:t>
      </w:r>
      <w:r>
        <w:rPr>
          <w:rFonts w:hint="eastAsia" w:cs="Arial"/>
        </w:rPr>
        <w:t>），不接受其他方式报名。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70" w:firstLineChars="196"/>
        <w:contextualSpacing/>
        <w:rPr>
          <w:rFonts w:cs="Arial"/>
        </w:rPr>
      </w:pPr>
      <w:r>
        <w:rPr>
          <w:rFonts w:hint="eastAsia" w:cs="Arial"/>
        </w:rPr>
        <w:t>2、报名时间：“云筑网”报名窗口打开至报名截止时间≥48小时，具体以云筑网截止时间为准，</w:t>
      </w:r>
      <w:r>
        <w:rPr>
          <w:rFonts w:hint="eastAsia"/>
        </w:rPr>
        <w:t>逾期不再接受投标单位的报名。（</w:t>
      </w:r>
      <w:r>
        <w:rPr>
          <w:rFonts w:hint="eastAsia" w:cs="Arial"/>
        </w:rPr>
        <w:t>如报名参加投标的申请单位数量过少，不足以形成充分竞争时，可适当延长报名时间）。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70" w:firstLineChars="196"/>
        <w:contextualSpacing/>
        <w:rPr>
          <w:highlight w:val="yellow"/>
          <w:u w:val="single"/>
        </w:rPr>
      </w:pPr>
      <w:r>
        <w:rPr>
          <w:rFonts w:hint="eastAsia"/>
        </w:rPr>
        <w:t>3</w:t>
      </w:r>
      <w:r>
        <w:rPr>
          <w:rFonts w:hint="eastAsia" w:cs="Arial"/>
        </w:rPr>
        <w:t>、</w:t>
      </w:r>
      <w:bookmarkStart w:id="1" w:name="_GoBack"/>
      <w:r>
        <w:rPr>
          <w:rFonts w:hint="eastAsia"/>
          <w:highlight w:val="yellow"/>
        </w:rPr>
        <w:t>报名所需提交的资料包括但不限于：企业法人证明书或法人授权委托书、公司简介、近三年的</w:t>
      </w:r>
      <w:bookmarkStart w:id="0" w:name="_Hlk520388654"/>
      <w:r>
        <w:rPr>
          <w:rFonts w:hint="eastAsia"/>
          <w:highlight w:val="yellow"/>
        </w:rPr>
        <w:t>类似</w:t>
      </w:r>
      <w:r>
        <w:rPr>
          <w:highlight w:val="yellow"/>
        </w:rPr>
        <w:t>合同</w:t>
      </w:r>
      <w:bookmarkEnd w:id="0"/>
      <w:r>
        <w:rPr>
          <w:rFonts w:hint="eastAsia"/>
          <w:highlight w:val="yellow"/>
        </w:rPr>
        <w:t>业绩和信誉等，以上资料扫描件在云筑网报名时以附件形式上传。</w:t>
      </w:r>
      <w:r>
        <w:rPr>
          <w:rFonts w:hint="eastAsia"/>
          <w:highlight w:val="yellow"/>
          <w:u w:val="single"/>
        </w:rPr>
        <w:t>（与我方签订过合同的且无不良记录的优质供应商，可不要求上传附件，但该供应商云筑网资质信息必需更新。项目可根据招标物资实际情况酌情描述）。</w:t>
      </w:r>
    </w:p>
    <w:bookmarkEnd w:id="1"/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9"/>
          <w:rFonts w:hint="eastAsia" w:cs="Arial"/>
        </w:rPr>
        <w:t>四、投标人资格预审合格条件：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1、投标人经营范围应包括本次招标的内容。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2、符合本公告第三条相关条款。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3、具备法律主体资格，具有独立订立及履行合同的能力。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4、投标人具备国家有关部门、行业或公司要求必须取得的质量、计量、安全、环保认证及其他经营许可；在国际有关部门和行业的监督检查中没有不良记录；与中建各分子公司没有不良合作记录。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5、近三年跟此类工程物资/设备供应相关的业绩证明（合同扫描件），并在人员、设备、资金等方面具有相应的施工能力。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6、具备一定的资金实力，</w:t>
      </w:r>
      <w:r>
        <w:rPr>
          <w:rFonts w:hint="eastAsia"/>
        </w:rPr>
        <w:t>具有良好的商业信誉和健全的财务会计制度，</w:t>
      </w:r>
      <w:r>
        <w:rPr>
          <w:rFonts w:hint="eastAsia" w:cs="Arial"/>
        </w:rPr>
        <w:t>同意我司的付款方式。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7、投标人没有处于被责令停业的状态或者不良记录。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8、投标报名时间前3年内投标人没有重大质量、安全问题。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9、具有一定的经营规模和服务能力，投标人的企业注册资本不低于</w:t>
      </w:r>
      <w:r>
        <w:rPr>
          <w:rFonts w:cs="Arial"/>
          <w:u w:val="single"/>
        </w:rPr>
        <w:t xml:space="preserve">  </w:t>
      </w:r>
      <w:r>
        <w:rPr>
          <w:rFonts w:hint="eastAsia" w:cs="Arial"/>
          <w:u w:val="single"/>
          <w:lang w:val="en-US" w:eastAsia="zh-CN"/>
        </w:rPr>
        <w:t>/</w:t>
      </w:r>
      <w:r>
        <w:rPr>
          <w:rFonts w:cs="Arial"/>
          <w:u w:val="single"/>
        </w:rPr>
        <w:t xml:space="preserve">  </w:t>
      </w:r>
      <w:r>
        <w:rPr>
          <w:rFonts w:hint="eastAsia" w:cs="Arial"/>
        </w:rPr>
        <w:t>万元。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 w:cs="Arial"/>
        </w:rPr>
        <w:t>10、具备一般纳税人资格，能开具符合国家税法要求的增值税专用发票。</w:t>
      </w:r>
    </w:p>
    <w:p>
      <w:pPr>
        <w:pStyle w:val="5"/>
        <w:adjustRightInd w:val="0"/>
        <w:snapToGrid w:val="0"/>
        <w:spacing w:before="75" w:beforeAutospacing="0" w:after="75" w:afterAutospacing="0" w:line="360" w:lineRule="auto"/>
        <w:ind w:firstLine="480"/>
        <w:contextualSpacing/>
        <w:rPr>
          <w:rFonts w:cs="Arial"/>
        </w:rPr>
      </w:pPr>
      <w:r>
        <w:rPr>
          <w:rFonts w:hint="eastAsia"/>
        </w:rPr>
        <w:t>11</w:t>
      </w:r>
      <w:r>
        <w:rPr>
          <w:rFonts w:hint="eastAsia" w:cs="Arial"/>
        </w:rPr>
        <w:t>、</w:t>
      </w:r>
      <w:r>
        <w:rPr>
          <w:rFonts w:hint="eastAsia"/>
        </w:rPr>
        <w:t>在工程所在城市有固定的办公场所或仓库，且有专职管理人员。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b/>
          <w:sz w:val="24"/>
          <w:lang w:val="zh-CN"/>
        </w:rPr>
      </w:pPr>
      <w:r>
        <w:rPr>
          <w:rFonts w:hint="eastAsia" w:ascii="宋体" w:hAnsi="宋体" w:eastAsia="宋体" w:cs="仿宋_GB2312"/>
          <w:b/>
          <w:sz w:val="24"/>
          <w:lang w:val="zh-CN"/>
        </w:rPr>
        <w:t>五</w:t>
      </w:r>
      <w:r>
        <w:rPr>
          <w:rStyle w:val="9"/>
          <w:rFonts w:hint="eastAsia" w:cs="Arial"/>
        </w:rPr>
        <w:t>、</w:t>
      </w:r>
      <w:r>
        <w:rPr>
          <w:rFonts w:hint="eastAsia" w:ascii="宋体" w:hAnsi="宋体" w:eastAsia="宋体" w:cs="仿宋_GB2312"/>
          <w:b/>
          <w:sz w:val="24"/>
          <w:lang w:val="zh-CN"/>
        </w:rPr>
        <w:t>资格审查不予审核通过的情形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1、</w:t>
      </w:r>
      <w:r>
        <w:rPr>
          <w:rFonts w:hint="eastAsia" w:ascii="宋体" w:hAnsi="宋体" w:eastAsia="宋体" w:cs="仿宋_GB2312"/>
          <w:color w:val="000000"/>
          <w:sz w:val="24"/>
          <w:lang w:val="zh-CN"/>
        </w:rPr>
        <w:t>供方</w:t>
      </w:r>
      <w:r>
        <w:rPr>
          <w:rFonts w:hint="eastAsia" w:ascii="宋体" w:hAnsi="宋体" w:eastAsia="宋体" w:cs="仿宋_GB2312"/>
          <w:sz w:val="24"/>
          <w:lang w:val="zh-CN"/>
        </w:rPr>
        <w:t>单位考核或评价为不合格的。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2、供方单位年均产能或设备型号数量等不能满足现场需求，</w:t>
      </w:r>
      <w:r>
        <w:rPr>
          <w:rFonts w:hint="eastAsia" w:ascii="宋体" w:hAnsi="宋体" w:eastAsia="宋体" w:cs="仿宋_GB2312"/>
          <w:sz w:val="24"/>
        </w:rPr>
        <w:t>在以往合作中</w:t>
      </w:r>
      <w:r>
        <w:rPr>
          <w:rFonts w:hint="eastAsia" w:ascii="宋体" w:hAnsi="宋体" w:eastAsia="宋体" w:cs="仿宋_GB2312"/>
          <w:sz w:val="24"/>
          <w:lang w:val="zh-CN"/>
        </w:rPr>
        <w:t>存在服务配合不到位，供应不及时，产品质量不达标、安全管理不符合现场管理要求且不服从项目管理人员安排的。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3、供方单位在以往投标过程中有围标或串标行为的。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4、供方单位在本年度内发生过恶意讨要材料</w:t>
      </w:r>
      <w:r>
        <w:rPr>
          <w:rFonts w:ascii="宋体" w:hAnsi="宋体" w:eastAsia="宋体" w:cs="仿宋_GB2312"/>
          <w:sz w:val="24"/>
          <w:lang w:val="zh-CN"/>
        </w:rPr>
        <w:t>/</w:t>
      </w:r>
      <w:r>
        <w:rPr>
          <w:rFonts w:hint="eastAsia" w:ascii="宋体" w:hAnsi="宋体" w:eastAsia="宋体" w:cs="仿宋_GB2312"/>
          <w:sz w:val="24"/>
          <w:lang w:val="zh-CN"/>
        </w:rPr>
        <w:t>租赁款、上访、闹事等恶性事件一次的。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5、供方单位有低价中标中途调价或存在断供停供现象的。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6、供方单位在一个年度内被业主方、监理方投诉2次及以上（投诉形式包括但不限于：书面投诉、会议投诉、微信工作群投诉、电话投诉等）。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7、供方单位或实际负责人在中建八局范围内或国家、省、市信用平台及政府文件有不良记录的、被列入失信名单的或有其他严重违法行为的。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8、供方单位无正当理由拒绝结算的。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9、发生相关诉讼且未积极配合解决的、发生上访且造成恶劣影响的，围堵项目部或公司的。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0"/>
        <w:rPr>
          <w:rFonts w:ascii="宋体" w:hAnsi="宋体" w:eastAsia="宋体" w:cs="仿宋_GB2312"/>
          <w:sz w:val="24"/>
          <w:lang w:val="zh-CN"/>
        </w:rPr>
      </w:pPr>
      <w:r>
        <w:rPr>
          <w:rFonts w:hint="eastAsia" w:ascii="宋体" w:hAnsi="宋体" w:eastAsia="宋体" w:cs="仿宋_GB2312"/>
          <w:sz w:val="24"/>
          <w:lang w:val="zh-CN"/>
        </w:rPr>
        <w:t>10、在本单位施工的供应单位有四个项目完工未结算的。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Style w:val="9"/>
          <w:rFonts w:cs="Arial"/>
        </w:rPr>
      </w:pPr>
      <w:r>
        <w:rPr>
          <w:rStyle w:val="9"/>
          <w:rFonts w:hint="eastAsia" w:cs="Arial"/>
        </w:rPr>
        <w:t>六、正式投标人确定方式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</w:pPr>
      <w:r>
        <w:rPr>
          <w:rFonts w:hint="eastAsia" w:cs="Arial"/>
        </w:rPr>
        <w:t>1、满足资格预审合格条件的投标人需拟中标单位数量*2+</w:t>
      </w:r>
      <w:r>
        <w:rPr>
          <w:rFonts w:cs="Arial"/>
          <w:u w:val="single"/>
        </w:rPr>
        <w:t xml:space="preserve"> 2 </w:t>
      </w:r>
      <w:r>
        <w:rPr>
          <w:rFonts w:hint="eastAsia" w:cs="Arial"/>
        </w:rPr>
        <w:t>，取全部满足条件的投标申请单位为正式投标人。经资格审查入围的投标人，收到通知后可直接登录“云筑网”自行下载招标文件。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80" w:firstLineChars="200"/>
        <w:contextualSpacing/>
        <w:rPr>
          <w:rStyle w:val="9"/>
        </w:rPr>
      </w:pPr>
      <w:r>
        <w:rPr>
          <w:rFonts w:hint="eastAsia" w:cs="Arial"/>
        </w:rPr>
        <w:t>2、满足资格预审合格条件的投标人不足拟中标单位数量*2+</w:t>
      </w:r>
      <w:r>
        <w:rPr>
          <w:rFonts w:cs="Arial"/>
          <w:u w:val="single"/>
        </w:rPr>
        <w:t xml:space="preserve"> 2 </w:t>
      </w:r>
      <w:r>
        <w:rPr>
          <w:rFonts w:hint="eastAsia" w:cs="Arial"/>
        </w:rPr>
        <w:t>时，或报名参加投标的申请单位数量过少，不足以形成充分竞争时，可适当延长报名时间。时间延长后如仍不满足要求即招标失败。招标单位分析招标失败原因，修正招标方式，报审后，重新组织实施。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Fonts w:cs="Arial"/>
        </w:rPr>
      </w:pPr>
      <w:r>
        <w:rPr>
          <w:rStyle w:val="9"/>
          <w:rFonts w:hint="eastAsia" w:cs="Arial"/>
        </w:rPr>
        <w:t>七、</w:t>
      </w:r>
      <w:r>
        <w:rPr>
          <w:rFonts w:hint="eastAsia" w:cs="Arial"/>
        </w:rPr>
        <w:t>投标人在为本次招标所进行的现场考察、事实调查和标书编制等一切活动中引起的费用开支和法律事务，由投标人自行承担，招标人概不承担任何费用和法律责任。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72" w:firstLineChars="196"/>
        <w:contextualSpacing/>
        <w:rPr>
          <w:rStyle w:val="9"/>
          <w:rFonts w:cs="Arial"/>
        </w:rPr>
      </w:pPr>
      <w:r>
        <w:rPr>
          <w:rStyle w:val="9"/>
          <w:rFonts w:hint="eastAsia" w:cs="Arial"/>
        </w:rPr>
        <w:t>八、发布标书时间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Arial"/>
          <w:kern w:val="0"/>
          <w:sz w:val="24"/>
          <w:szCs w:val="24"/>
        </w:rPr>
      </w:pPr>
      <w:r>
        <w:rPr>
          <w:rFonts w:hint="eastAsia" w:ascii="宋体" w:hAnsi="宋体" w:eastAsia="宋体" w:cs="Arial"/>
          <w:kern w:val="0"/>
          <w:sz w:val="24"/>
          <w:szCs w:val="24"/>
        </w:rPr>
        <w:t>招标人将通过云筑网告知投标人是否通过资格预审，对通过资格预审的投标人发布招标文件，时间：以云筑网招标文件发放时间为准。</w:t>
      </w:r>
    </w:p>
    <w:p>
      <w:pPr>
        <w:pStyle w:val="10"/>
        <w:spacing w:line="360" w:lineRule="auto"/>
        <w:ind w:left="420" w:firstLine="0" w:firstLineChars="0"/>
        <w:rPr>
          <w:rFonts w:ascii="宋体" w:hAnsi="宋体"/>
          <w:b/>
          <w:kern w:val="0"/>
          <w:sz w:val="24"/>
          <w:szCs w:val="24"/>
        </w:rPr>
      </w:pPr>
      <w:r>
        <w:rPr>
          <w:rFonts w:hint="eastAsia" w:ascii="宋体" w:hAnsi="宋体"/>
          <w:b/>
          <w:kern w:val="0"/>
          <w:sz w:val="24"/>
          <w:szCs w:val="24"/>
        </w:rPr>
        <w:t>九、招标人联系方式</w:t>
      </w:r>
    </w:p>
    <w:p>
      <w:pPr>
        <w:pStyle w:val="5"/>
        <w:spacing w:line="400" w:lineRule="exact"/>
        <w:rPr>
          <w:kern w:val="2"/>
          <w:szCs w:val="21"/>
        </w:rPr>
      </w:pPr>
      <w:r>
        <w:rPr>
          <w:rFonts w:hint="eastAsia"/>
          <w:kern w:val="2"/>
          <w:szCs w:val="21"/>
        </w:rPr>
        <w:t>负责人：石正军       电话：</w:t>
      </w:r>
      <w:r>
        <w:rPr>
          <w:kern w:val="2"/>
          <w:szCs w:val="21"/>
        </w:rPr>
        <w:t>15261499560</w:t>
      </w:r>
    </w:p>
    <w:p>
      <w:pPr>
        <w:pStyle w:val="5"/>
        <w:spacing w:line="400" w:lineRule="exact"/>
        <w:rPr>
          <w:kern w:val="2"/>
          <w:szCs w:val="21"/>
        </w:rPr>
      </w:pPr>
      <w:r>
        <w:rPr>
          <w:rFonts w:hint="eastAsia"/>
          <w:kern w:val="2"/>
          <w:szCs w:val="21"/>
        </w:rPr>
        <w:t>业务经理：吴宁燕    电话：18351880198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contextualSpacing/>
        <w:rPr>
          <w:rFonts w:cs="Arial"/>
        </w:rPr>
      </w:pPr>
      <w:r>
        <w:rPr>
          <w:rFonts w:cs="Arial"/>
        </w:rPr>
        <w:t>项目联系人：</w:t>
      </w:r>
      <w:r>
        <w:rPr>
          <w:rFonts w:hint="eastAsia" w:cs="Arial"/>
          <w:lang w:val="en-US" w:eastAsia="zh-CN"/>
        </w:rPr>
        <w:t>顾佳俊</w:t>
      </w:r>
      <w:r>
        <w:rPr>
          <w:rFonts w:hint="eastAsia" w:cs="Arial"/>
        </w:rPr>
        <w:t xml:space="preserve">  </w:t>
      </w:r>
      <w:r>
        <w:rPr>
          <w:rFonts w:cs="Arial"/>
        </w:rPr>
        <w:t>电话：</w:t>
      </w:r>
      <w:r>
        <w:rPr>
          <w:rFonts w:hint="eastAsia" w:cs="Arial"/>
        </w:rPr>
        <w:t>13</w:t>
      </w:r>
      <w:r>
        <w:rPr>
          <w:rFonts w:hint="eastAsia" w:cs="Arial"/>
          <w:lang w:val="en-US" w:eastAsia="zh-CN"/>
        </w:rPr>
        <w:t>815410318</w:t>
      </w:r>
      <w:r>
        <w:rPr>
          <w:rFonts w:hint="eastAsia" w:cs="Arial"/>
        </w:rPr>
        <w:t>（相关招标问题请联系项目）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contextualSpacing/>
        <w:jc w:val="both"/>
        <w:rPr>
          <w:rFonts w:cs="Arial"/>
        </w:rPr>
      </w:pP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firstLine="480"/>
        <w:contextualSpacing/>
        <w:jc w:val="right"/>
        <w:rPr>
          <w:rFonts w:cs="Arial"/>
        </w:rPr>
      </w:pPr>
      <w:r>
        <w:rPr>
          <w:rFonts w:hint="eastAsia" w:cs="Arial"/>
        </w:rPr>
        <w:t>招标单位：中建八局第三建设有限公司</w:t>
      </w:r>
      <w:r>
        <w:rPr>
          <w:rFonts w:cs="Arial"/>
        </w:rPr>
        <w:t>南京</w:t>
      </w:r>
      <w:r>
        <w:rPr>
          <w:rFonts w:hint="eastAsia" w:cs="Arial"/>
        </w:rPr>
        <w:t>公司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right="480"/>
        <w:contextualSpacing/>
        <w:jc w:val="right"/>
        <w:rPr>
          <w:rFonts w:cs="Arial"/>
        </w:rPr>
      </w:pPr>
      <w:r>
        <w:rPr>
          <w:rFonts w:cs="Arial"/>
        </w:rPr>
        <w:t>2020</w:t>
      </w:r>
      <w:r>
        <w:rPr>
          <w:rFonts w:hint="eastAsia" w:cs="Arial"/>
        </w:rPr>
        <w:t>年</w:t>
      </w:r>
      <w:r>
        <w:rPr>
          <w:rFonts w:hint="eastAsia" w:cs="Arial"/>
          <w:lang w:val="en-US" w:eastAsia="zh-CN"/>
        </w:rPr>
        <w:t>7</w:t>
      </w:r>
      <w:r>
        <w:rPr>
          <w:rFonts w:hint="eastAsia" w:cs="Arial"/>
        </w:rPr>
        <w:t>月</w:t>
      </w:r>
      <w:r>
        <w:rPr>
          <w:rFonts w:hint="eastAsia" w:cs="Arial"/>
          <w:lang w:val="en-US" w:eastAsia="zh-CN"/>
        </w:rPr>
        <w:t>5</w:t>
      </w:r>
      <w:r>
        <w:rPr>
          <w:rFonts w:hint="eastAsia" w:cs="Arial"/>
        </w:rPr>
        <w:t>日</w:t>
      </w:r>
    </w:p>
    <w:p>
      <w:pPr>
        <w:pStyle w:val="5"/>
        <w:adjustRightInd w:val="0"/>
        <w:snapToGrid w:val="0"/>
        <w:spacing w:before="75" w:beforeAutospacing="0" w:after="0" w:afterAutospacing="0" w:line="360" w:lineRule="auto"/>
        <w:ind w:right="480" w:firstLine="6120" w:firstLineChars="2550"/>
        <w:contextualSpacing/>
        <w:rPr>
          <w:rFonts w:cs="Arial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40D"/>
    <w:rsid w:val="0003209F"/>
    <w:rsid w:val="00361678"/>
    <w:rsid w:val="00421A53"/>
    <w:rsid w:val="00A027C5"/>
    <w:rsid w:val="00A02B2E"/>
    <w:rsid w:val="00BE440D"/>
    <w:rsid w:val="00CC793B"/>
    <w:rsid w:val="00CF3D01"/>
    <w:rsid w:val="00E37319"/>
    <w:rsid w:val="00E62A6D"/>
    <w:rsid w:val="00E630BB"/>
    <w:rsid w:val="00E73D02"/>
    <w:rsid w:val="00ED2B17"/>
    <w:rsid w:val="00F33A10"/>
    <w:rsid w:val="0C040E5E"/>
    <w:rsid w:val="0CF70732"/>
    <w:rsid w:val="11DE74CD"/>
    <w:rsid w:val="14B779F7"/>
    <w:rsid w:val="159605DB"/>
    <w:rsid w:val="222CC01E"/>
    <w:rsid w:val="24BA5DD9"/>
    <w:rsid w:val="2DBF8CF1"/>
    <w:rsid w:val="2EFD0DE8"/>
    <w:rsid w:val="2F5C3972"/>
    <w:rsid w:val="2FEF8FC2"/>
    <w:rsid w:val="3A7F4A1F"/>
    <w:rsid w:val="3FF33FD2"/>
    <w:rsid w:val="40A41E49"/>
    <w:rsid w:val="467F7501"/>
    <w:rsid w:val="47F27D96"/>
    <w:rsid w:val="484B44B5"/>
    <w:rsid w:val="494D2A33"/>
    <w:rsid w:val="51CC0464"/>
    <w:rsid w:val="52C2186B"/>
    <w:rsid w:val="55AE5D09"/>
    <w:rsid w:val="65FDE261"/>
    <w:rsid w:val="6B6C1B68"/>
    <w:rsid w:val="6E0C6E0E"/>
    <w:rsid w:val="769A6433"/>
    <w:rsid w:val="76FE3224"/>
    <w:rsid w:val="7AF5E7C9"/>
    <w:rsid w:val="7FCF9C53"/>
    <w:rsid w:val="7FDA011E"/>
    <w:rsid w:val="CFD62C56"/>
    <w:rsid w:val="D3FC7224"/>
    <w:rsid w:val="F2FFE4F0"/>
    <w:rsid w:val="FDCA8751"/>
    <w:rsid w:val="FFF5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unhideWhenUsed/>
    <w:qFormat/>
    <w:uiPriority w:val="9"/>
    <w:pPr>
      <w:keepNext/>
      <w:keepLines/>
      <w:autoSpaceDE w:val="0"/>
      <w:autoSpaceDN w:val="0"/>
      <w:adjustRightInd w:val="0"/>
      <w:spacing w:before="260" w:after="260" w:line="416" w:lineRule="auto"/>
      <w:jc w:val="left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qFormat/>
    <w:uiPriority w:val="1"/>
    <w:pPr>
      <w:autoSpaceDE w:val="0"/>
      <w:autoSpaceDN w:val="0"/>
      <w:adjustRightInd w:val="0"/>
      <w:ind w:left="120"/>
      <w:jc w:val="left"/>
    </w:pPr>
    <w:rPr>
      <w:rFonts w:ascii="华文中宋" w:hAnsi="Times New Roman" w:eastAsia="华文中宋" w:cs="华文中宋"/>
      <w:kern w:val="0"/>
      <w:sz w:val="28"/>
      <w:szCs w:val="28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1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2">
    <w:name w:val="正文文本 Char"/>
    <w:basedOn w:val="8"/>
    <w:link w:val="3"/>
    <w:qFormat/>
    <w:uiPriority w:val="1"/>
    <w:rPr>
      <w:rFonts w:ascii="华文中宋" w:hAnsi="Times New Roman" w:eastAsia="华文中宋" w:cs="华文中宋"/>
      <w:kern w:val="0"/>
      <w:sz w:val="28"/>
      <w:szCs w:val="28"/>
    </w:rPr>
  </w:style>
  <w:style w:type="character" w:customStyle="1" w:styleId="13">
    <w:name w:val="批注框文本 Char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393</Words>
  <Characters>2242</Characters>
  <Lines>18</Lines>
  <Paragraphs>5</Paragraphs>
  <TotalTime>27</TotalTime>
  <ScaleCrop>false</ScaleCrop>
  <LinksUpToDate>false</LinksUpToDate>
  <CharactersWithSpaces>2630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2020-02-19T02:21:00Z</dcterms:created>
  <dc:creator> </dc:creator>
  <cp:lastModifiedBy>旧巷</cp:lastModifiedBy>
  <dcterms:modified xsi:type="dcterms:W3CDTF">2020-07-04T16:08:30Z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