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9"/>
        </w:rPr>
        <w:t>中国建筑一局（集团）有限公司</w:t>
      </w:r>
      <w:r>
        <w:rPr>
          <w:rFonts w:hint="eastAsia" w:ascii="宋体" w:hAnsi="宋体" w:eastAsia="宋体" w:cs="宋体"/>
          <w:b/>
          <w:bCs/>
          <w:kern w:val="0"/>
          <w:sz w:val="29"/>
          <w:u w:val="single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29"/>
          <w:u w:val="single"/>
          <w:lang w:eastAsia="zh-CN"/>
        </w:rPr>
        <w:t>零星材料</w:t>
      </w:r>
      <w:r>
        <w:rPr>
          <w:rFonts w:hint="eastAsia" w:ascii="宋体" w:hAnsi="宋体" w:eastAsia="宋体" w:cs="宋体"/>
          <w:b/>
          <w:bCs/>
          <w:kern w:val="0"/>
          <w:sz w:val="29"/>
          <w:u w:val="single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29"/>
        </w:rPr>
        <w:t>招标公告</w:t>
      </w:r>
    </w:p>
    <w:p>
      <w:pPr>
        <w:widowControl/>
        <w:spacing w:after="100" w:afterAutospacing="1" w:line="120" w:lineRule="auto"/>
        <w:ind w:right="-197" w:rightChars="-94"/>
        <w:jc w:val="left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after="100" w:afterAutospacing="1" w:line="120" w:lineRule="auto"/>
        <w:ind w:right="-197" w:rightChars="-9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1. 招标条件</w:t>
      </w:r>
    </w:p>
    <w:p>
      <w:pPr>
        <w:widowControl/>
        <w:tabs>
          <w:tab w:val="left" w:pos="8306"/>
        </w:tabs>
        <w:spacing w:before="100" w:beforeAutospacing="1" w:after="100" w:afterAutospacing="1" w:line="120" w:lineRule="auto"/>
        <w:ind w:right="-197" w:rightChars="-9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根据</w:t>
      </w:r>
      <w:r>
        <w:rPr>
          <w:rFonts w:hint="eastAsia" w:ascii="宋体" w:hAnsi="宋体" w:eastAsia="宋体" w:cs="宋体"/>
          <w:bCs/>
          <w:kern w:val="0"/>
          <w:szCs w:val="21"/>
        </w:rPr>
        <w:t>中国建筑一局（集团）有限公司</w:t>
      </w:r>
      <w:r>
        <w:rPr>
          <w:rFonts w:ascii="宋体" w:hAnsi="宋体" w:eastAsia="宋体" w:cs="宋体"/>
          <w:kern w:val="0"/>
          <w:szCs w:val="21"/>
        </w:rPr>
        <w:t>采购管理方针，</w:t>
      </w:r>
      <w:r>
        <w:rPr>
          <w:rFonts w:ascii="宋体" w:hAnsi="宋体" w:eastAsia="宋体" w:cs="宋体"/>
          <w:kern w:val="0"/>
          <w:szCs w:val="21"/>
          <w:u w:val="single"/>
        </w:rPr>
        <w:t> 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吉丽嘉逸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2栋、3栋、5栋、6栋A单元、6栋B单元、7栋、8栋住宅及地下室项目零星材料</w:t>
      </w:r>
      <w:r>
        <w:rPr>
          <w:rFonts w:ascii="宋体" w:hAnsi="宋体" w:eastAsia="宋体" w:cs="宋体"/>
          <w:kern w:val="0"/>
          <w:szCs w:val="21"/>
        </w:rPr>
        <w:t>已具备招标条件，招标人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吉丽嘉逸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2栋、3栋、5栋、6栋A单元、6栋B单元、7栋、8栋住宅及地下室项目</w:t>
      </w:r>
      <w:r>
        <w:rPr>
          <w:rFonts w:ascii="宋体" w:hAnsi="宋体" w:eastAsia="宋体" w:cs="宋体"/>
          <w:kern w:val="0"/>
          <w:szCs w:val="21"/>
        </w:rPr>
        <w:t>，现进行公开招标。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2. 项目概况与招标内容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2.1项目概况：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2.1.1</w:t>
      </w:r>
      <w:r>
        <w:rPr>
          <w:rFonts w:hint="eastAsia" w:ascii="宋体" w:hAnsi="宋体"/>
          <w:sz w:val="24"/>
        </w:rPr>
        <w:t>工程名称：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吉丽嘉逸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2栋、3栋、5栋、6栋A单元、6栋B单元、7栋、8栋住宅及地下室项目</w:t>
      </w:r>
    </w:p>
    <w:p>
      <w:pPr>
        <w:pStyle w:val="2"/>
        <w:spacing w:line="276" w:lineRule="auto"/>
        <w:ind w:firstLine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 xml:space="preserve">.1.2 </w:t>
      </w:r>
      <w:r>
        <w:rPr>
          <w:rFonts w:hint="eastAsia" w:ascii="宋体" w:hAnsi="宋体"/>
          <w:sz w:val="24"/>
        </w:rPr>
        <w:t>工程地点：</w:t>
      </w:r>
      <w:r>
        <w:rPr>
          <w:rFonts w:hint="eastAsia" w:ascii="宋体" w:hAnsi="宋体"/>
          <w:sz w:val="24"/>
          <w:u w:val="single"/>
        </w:rPr>
        <w:t>南宁市良庆区百灵路100号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2.1.</w:t>
      </w: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建筑面积：</w:t>
      </w:r>
      <w:r>
        <w:rPr>
          <w:rFonts w:hint="eastAsia" w:ascii="宋体" w:hAnsi="宋体"/>
          <w:sz w:val="24"/>
          <w:u w:val="single"/>
        </w:rPr>
        <w:t xml:space="preserve"> 约</w:t>
      </w:r>
      <w:r>
        <w:rPr>
          <w:rFonts w:hint="eastAsia" w:ascii="宋体" w:hAnsi="宋体"/>
          <w:sz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u w:val="single"/>
        </w:rPr>
        <w:t>万</w:t>
      </w:r>
      <w:r>
        <w:rPr>
          <w:rFonts w:ascii="宋体" w:hAnsi="宋体" w:cs="Arial"/>
          <w:sz w:val="24"/>
          <w:u w:val="single"/>
        </w:rPr>
        <w:t>m</w:t>
      </w:r>
      <w:r>
        <w:rPr>
          <w:rFonts w:ascii="宋体" w:hAnsi="宋体" w:cs="Arial"/>
          <w:sz w:val="24"/>
          <w:u w:val="single"/>
          <w:vertAlign w:val="superscript"/>
        </w:rPr>
        <w:t>2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2.1.</w:t>
      </w: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结构类型： </w:t>
      </w:r>
      <w:r>
        <w:rPr>
          <w:rFonts w:hint="eastAsia" w:ascii="宋体" w:hAnsi="宋体"/>
          <w:sz w:val="24"/>
          <w:u w:val="single"/>
        </w:rPr>
        <w:t>框架剪力墙结构</w:t>
      </w:r>
    </w:p>
    <w:tbl>
      <w:tblPr>
        <w:tblStyle w:val="6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695"/>
        <w:gridCol w:w="676"/>
        <w:gridCol w:w="755"/>
        <w:gridCol w:w="833"/>
        <w:gridCol w:w="1067"/>
        <w:gridCol w:w="751"/>
        <w:gridCol w:w="1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0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7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7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送货城市（区域）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0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</w:t>
            </w:r>
          </w:p>
        </w:tc>
        <w:tc>
          <w:tcPr>
            <w:tcW w:w="17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Φ2.8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Φ0.7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混凝土聚丙烯抗裂纤维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不锈钢螺栓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穿墙螺栓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76876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镀锌膨胀螺栓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M6×80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镀锌铁丝网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12*12*0.5mm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镀锌铁丝网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20*20*0.5mm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不锈钢连接件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界面砂浆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10#～30#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60#～100#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防水腻子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建筑油膏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塑料油膏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密封油膏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橡胶止水带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挤塑聚苯板（XPS)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40mm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挤塑聚苯板（XPS)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400g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遮阳网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（含水枪）850*650*210*12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钢板蓝白彩带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彩条布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4*50m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捆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施工电梯楼层呼叫器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防锈漆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松节水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10KG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10KG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外墙腻子粉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20kg/包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内墙腻子粉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20kg/包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消防栓头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消防水龙带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DN65水龙带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临时消防管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DN100镀锌钢管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按设计分类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按设计分类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DE63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DE160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DE40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DE32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DE200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DE25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DE110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铁篦子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400*500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4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说明：若招标人有生产厂家或者品牌限制，可予以说明。</w:t>
            </w:r>
          </w:p>
        </w:tc>
      </w:tr>
    </w:tbl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2.3招标结果适用范围：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吉丽嘉逸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2栋、3栋、5栋、6栋A单元、6栋B单元、7栋、8栋住宅及地下室项目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widowControl/>
        <w:spacing w:before="100" w:beforeAutospacing="1" w:after="100" w:afterAutospacing="1" w:line="12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2.4 招标、评标方式：</w:t>
      </w:r>
      <w:r>
        <w:rPr>
          <w:rFonts w:asciiTheme="minorEastAsia" w:hAnsiTheme="minorEastAsia"/>
          <w:bCs/>
          <w:szCs w:val="21"/>
        </w:rPr>
        <w:t>采用公开报名、综合评审的方式</w:t>
      </w:r>
      <w:r>
        <w:rPr>
          <w:rFonts w:hint="eastAsia" w:asciiTheme="minorEastAsia" w:hAnsiTheme="minorEastAsia"/>
          <w:bCs/>
          <w:szCs w:val="21"/>
        </w:rPr>
        <w:t>确定中标单位。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3. 投标人资格要求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3.1本次招标要求投标人须</w:t>
      </w:r>
      <w:r>
        <w:rPr>
          <w:rFonts w:hint="eastAsia" w:ascii="宋体" w:hAnsi="宋体" w:eastAsia="宋体" w:cs="宋体"/>
          <w:kern w:val="0"/>
          <w:szCs w:val="21"/>
        </w:rPr>
        <w:t>具备供应本次招标产品的能力</w:t>
      </w:r>
      <w:r>
        <w:rPr>
          <w:rFonts w:ascii="宋体" w:hAnsi="宋体" w:eastAsia="宋体" w:cs="宋体"/>
          <w:kern w:val="0"/>
          <w:szCs w:val="21"/>
        </w:rPr>
        <w:t>，并在人员、设备、资金等方面具备相应的能力。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</w:t>
      </w: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可以开具</w:t>
      </w:r>
      <w:r>
        <w:rPr>
          <w:rFonts w:hint="eastAsia" w:ascii="宋体" w:hAnsi="宋体" w:eastAsia="宋体" w:cs="宋体"/>
          <w:kern w:val="0"/>
          <w:szCs w:val="21"/>
        </w:rPr>
        <w:t>符合国家规定及招标人要求的</w:t>
      </w:r>
      <w:r>
        <w:rPr>
          <w:rFonts w:ascii="宋体" w:hAnsi="宋体" w:eastAsia="宋体" w:cs="宋体"/>
          <w:kern w:val="0"/>
          <w:szCs w:val="21"/>
        </w:rPr>
        <w:t>发票。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3.3</w:t>
      </w:r>
      <w:r>
        <w:rPr>
          <w:rFonts w:ascii="宋体" w:hAnsi="宋体" w:eastAsia="宋体" w:cs="宋体"/>
          <w:kern w:val="0"/>
          <w:szCs w:val="21"/>
        </w:rPr>
        <w:t>符合上述条件，经招标人招标工作组资格审查合格后，才能成为合格的投标人。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4.报名方式与相关要求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4.1报名时间：</w:t>
      </w:r>
      <w:r>
        <w:rPr>
          <w:rFonts w:hint="eastAsia" w:ascii="宋体" w:hAnsi="宋体" w:eastAsia="宋体" w:cs="宋体"/>
          <w:kern w:val="0"/>
          <w:szCs w:val="21"/>
        </w:rPr>
        <w:t>以云筑网通知的报名截止时间为准，</w:t>
      </w:r>
      <w:r>
        <w:rPr>
          <w:rFonts w:ascii="宋体" w:hAnsi="宋体" w:eastAsia="宋体" w:cs="宋体"/>
          <w:kern w:val="0"/>
          <w:szCs w:val="21"/>
        </w:rPr>
        <w:t>逾期不再接受投标单位的报名。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4.2报名方式：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网络报名，通过“中国建筑电子商务平台”（网址http://www.cscec-buy.com）上进行报名，不接受其他方式报名。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5. 资格审查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5.</w:t>
      </w:r>
      <w:r>
        <w:rPr>
          <w:rFonts w:hint="eastAsia" w:ascii="宋体" w:hAnsi="宋体" w:eastAsia="宋体" w:cs="宋体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资格审查资料清单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（1）投标单位营业执照、税务登记证、组织机构代码证，三证原件（正副本均可）。</w:t>
      </w:r>
      <w:r>
        <w:rPr>
          <w:rFonts w:hint="eastAsia" w:ascii="宋体" w:hAnsi="宋体" w:eastAsia="宋体" w:cs="宋体"/>
          <w:kern w:val="0"/>
          <w:szCs w:val="21"/>
        </w:rPr>
        <w:t>实行统一信用代码的，提供营业执照原件。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（2）法定代表人身份证明及法定代表人授权书证明原件。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6、</w:t>
      </w:r>
      <w:r>
        <w:rPr>
          <w:rFonts w:asciiTheme="minorEastAsia" w:hAnsiTheme="minorEastAsia"/>
          <w:b/>
          <w:bCs/>
          <w:szCs w:val="21"/>
        </w:rPr>
        <w:t>招标文件发放</w:t>
      </w:r>
    </w:p>
    <w:p>
      <w:pPr>
        <w:widowControl/>
        <w:spacing w:line="360" w:lineRule="auto"/>
        <w:ind w:right="-256" w:rightChars="-122" w:firstLine="411" w:firstLineChars="196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投标人通过资格预审后，招标人通过“云筑电商平台”（网址：http://www.yzw.cn）发布招标文件，具体时间另行通知。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7、</w:t>
      </w:r>
      <w:r>
        <w:rPr>
          <w:rFonts w:asciiTheme="minorEastAsia" w:hAnsiTheme="minorEastAsia"/>
          <w:b/>
          <w:bCs/>
          <w:szCs w:val="21"/>
        </w:rPr>
        <w:t>投标文件递交及开标相关要求</w:t>
      </w:r>
    </w:p>
    <w:p>
      <w:pPr>
        <w:spacing w:line="36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投标文件递交截止时间、开标时间及具体要求详见招标文件。</w:t>
      </w:r>
    </w:p>
    <w:p>
      <w:pPr>
        <w:widowControl/>
        <w:spacing w:after="100" w:afterAutospacing="1"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8. 联系方式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招 标 人</w:t>
      </w:r>
      <w:r>
        <w:rPr>
          <w:rFonts w:hint="eastAsia" w:ascii="宋体" w:hAnsi="宋体" w:eastAsia="宋体" w:cs="宋体"/>
          <w:kern w:val="0"/>
          <w:szCs w:val="21"/>
        </w:rPr>
        <w:t>（项目名称）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吉丽嘉逸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2栋、3栋、5栋、6栋A单元、6栋B单元、7栋、8栋住宅及地下室项目</w:t>
      </w:r>
      <w:r>
        <w:rPr>
          <w:rFonts w:ascii="宋体" w:hAnsi="宋体" w:eastAsia="宋体" w:cs="宋体"/>
          <w:kern w:val="0"/>
          <w:szCs w:val="21"/>
        </w:rPr>
        <w:t>                  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联 系 人：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张欢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电  话：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18587786520</w:t>
      </w:r>
      <w:r>
        <w:rPr>
          <w:rFonts w:ascii="宋体" w:hAnsi="宋体" w:eastAsia="宋体" w:cs="宋体"/>
          <w:kern w:val="0"/>
          <w:szCs w:val="21"/>
        </w:rPr>
        <w:t>                    </w:t>
      </w:r>
    </w:p>
    <w:p>
      <w:pPr>
        <w:widowControl/>
        <w:spacing w:before="100" w:beforeAutospacing="1" w:after="100" w:afterAutospacing="1" w:line="120" w:lineRule="auto"/>
        <w:jc w:val="right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Cs w:val="21"/>
        </w:rPr>
        <w:t>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E32"/>
    <w:rsid w:val="00001DFE"/>
    <w:rsid w:val="000232FB"/>
    <w:rsid w:val="0002414B"/>
    <w:rsid w:val="000379B6"/>
    <w:rsid w:val="0005393C"/>
    <w:rsid w:val="000937B1"/>
    <w:rsid w:val="000B3BC6"/>
    <w:rsid w:val="00140428"/>
    <w:rsid w:val="001A6019"/>
    <w:rsid w:val="001D7A2B"/>
    <w:rsid w:val="0021738B"/>
    <w:rsid w:val="00237EFC"/>
    <w:rsid w:val="002D4373"/>
    <w:rsid w:val="002F3A0B"/>
    <w:rsid w:val="00324FA2"/>
    <w:rsid w:val="0036589A"/>
    <w:rsid w:val="00422490"/>
    <w:rsid w:val="00431FDB"/>
    <w:rsid w:val="00443D8B"/>
    <w:rsid w:val="00467BBE"/>
    <w:rsid w:val="004B11BE"/>
    <w:rsid w:val="004D2BE9"/>
    <w:rsid w:val="005E1BF8"/>
    <w:rsid w:val="00620CDB"/>
    <w:rsid w:val="0063090F"/>
    <w:rsid w:val="006920F8"/>
    <w:rsid w:val="00721E07"/>
    <w:rsid w:val="0078124B"/>
    <w:rsid w:val="007D44E4"/>
    <w:rsid w:val="00872446"/>
    <w:rsid w:val="00916121"/>
    <w:rsid w:val="00944E32"/>
    <w:rsid w:val="009B0BC0"/>
    <w:rsid w:val="009C7416"/>
    <w:rsid w:val="00A102E4"/>
    <w:rsid w:val="00A176A6"/>
    <w:rsid w:val="00A4390A"/>
    <w:rsid w:val="00AD3392"/>
    <w:rsid w:val="00AD4445"/>
    <w:rsid w:val="00AF0C3C"/>
    <w:rsid w:val="00B52CAB"/>
    <w:rsid w:val="00B85302"/>
    <w:rsid w:val="00BF322D"/>
    <w:rsid w:val="00C5545C"/>
    <w:rsid w:val="00CA44C5"/>
    <w:rsid w:val="00D060A4"/>
    <w:rsid w:val="00DE1A18"/>
    <w:rsid w:val="00DE6A18"/>
    <w:rsid w:val="00E24F20"/>
    <w:rsid w:val="00F71D0E"/>
    <w:rsid w:val="00FB379A"/>
    <w:rsid w:val="01642C0D"/>
    <w:rsid w:val="2C5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919</Characters>
  <Lines>7</Lines>
  <Paragraphs>2</Paragraphs>
  <TotalTime>1</TotalTime>
  <ScaleCrop>false</ScaleCrop>
  <LinksUpToDate>false</LinksUpToDate>
  <CharactersWithSpaces>1078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2018-07-10T06:17:00Z</dcterms:created>
  <dc:creator>王巍w</dc:creator>
  <cp:lastModifiedBy>心</cp:lastModifiedBy>
  <dcterms:modified xsi:type="dcterms:W3CDTF">2019-11-01T01:40:35Z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