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75" w:beforeAutospacing="0" w:after="75" w:afterAutospacing="0"/>
        <w:jc w:val="both"/>
        <w:rPr>
          <w:rFonts w:ascii="宋体" w:hAnsi="宋体" w:eastAsia="宋体" w:cs="宋体"/>
          <w:color w:val="000000"/>
          <w:sz w:val="43"/>
          <w:szCs w:val="43"/>
        </w:rPr>
      </w:pPr>
    </w:p>
    <w:p>
      <w:pPr>
        <w:pStyle w:val="4"/>
        <w:widowControl/>
        <w:spacing w:before="75" w:beforeAutospacing="0" w:after="75" w:afterAutospacing="0"/>
        <w:jc w:val="center"/>
        <w:rPr>
          <w:rFonts w:ascii="sans-serif" w:hAnsi="sans-serif" w:eastAsia="sans-serif" w:cs="sans-serif"/>
          <w:color w:val="000000"/>
        </w:rPr>
      </w:pPr>
      <w:r>
        <w:rPr>
          <w:rFonts w:hint="eastAsia" w:ascii="宋体" w:hAnsi="宋体" w:eastAsia="宋体" w:cs="宋体"/>
          <w:color w:val="000000"/>
          <w:sz w:val="43"/>
          <w:szCs w:val="43"/>
        </w:rPr>
        <w:t>招标公告</w:t>
      </w:r>
      <w:bookmarkStart w:id="0" w:name="_GoBack"/>
      <w:bookmarkEnd w:id="0"/>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一、招标形式及范围</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1.1 本招标项目按照《中华人民共和国招标投标法》等有关法律、行政法规和部门规章，通过邀请招标方式选定供应商。</w:t>
      </w:r>
    </w:p>
    <w:p>
      <w:pPr>
        <w:widowControl/>
        <w:jc w:val="left"/>
        <w:rPr>
          <w:rFonts w:ascii="宋体" w:hAnsi="宋体" w:eastAsia="宋体" w:cs="宋体"/>
          <w:color w:val="000000"/>
          <w:sz w:val="24"/>
        </w:rPr>
      </w:pPr>
      <w:r>
        <w:rPr>
          <w:rFonts w:hint="eastAsia" w:ascii="宋体" w:hAnsi="宋体" w:eastAsia="宋体" w:cs="宋体"/>
          <w:color w:val="000000"/>
          <w:sz w:val="24"/>
        </w:rPr>
        <w:t>1.2 招标内容：</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挤塑板</w:t>
      </w:r>
      <w:r>
        <w:rPr>
          <w:rFonts w:hint="eastAsia" w:ascii="宋体" w:hAnsi="宋体" w:eastAsia="宋体" w:cs="宋体"/>
          <w:color w:val="000000"/>
          <w:sz w:val="24"/>
          <w:u w:val="single"/>
        </w:rPr>
        <w:t>材料  （</w:t>
      </w:r>
      <w:r>
        <w:rPr>
          <w:rFonts w:ascii="宋体" w:hAnsi="宋体" w:eastAsia="宋体" w:cs="宋体"/>
          <w:kern w:val="0"/>
          <w:sz w:val="24"/>
        </w:rPr>
        <w:t xml:space="preserve">物资品种、质量标准、数量、包件划分、计划交货期等） </w:t>
      </w:r>
    </w:p>
    <w:p>
      <w:pPr>
        <w:pStyle w:val="4"/>
        <w:widowControl/>
        <w:spacing w:before="75" w:beforeAutospacing="0" w:after="75" w:afterAutospacing="0"/>
        <w:rPr>
          <w:rFonts w:ascii="宋体" w:hAnsi="宋体" w:eastAsia="宋体" w:cs="宋体"/>
          <w:color w:val="000000"/>
        </w:rPr>
      </w:pPr>
      <w:r>
        <w:rPr>
          <w:rFonts w:hint="eastAsia" w:ascii="宋体" w:hAnsi="宋体" w:eastAsia="宋体" w:cs="宋体"/>
          <w:color w:val="000000"/>
        </w:rPr>
        <w:t>1.3  招标数量：详见招标清单</w:t>
      </w:r>
      <w:r>
        <w:rPr>
          <w:rFonts w:hint="eastAsia" w:ascii="宋体" w:hAnsi="宋体" w:eastAsia="宋体" w:cs="宋体"/>
          <w:color w:val="000000"/>
          <w:u w:val="single"/>
        </w:rPr>
        <w:t xml:space="preserve">                           </w:t>
      </w:r>
    </w:p>
    <w:p>
      <w:pPr>
        <w:widowControl/>
        <w:jc w:val="left"/>
        <w:rPr>
          <w:rFonts w:ascii="宋体" w:hAnsi="宋体" w:eastAsia="宋体" w:cs="宋体"/>
          <w:color w:val="000000"/>
          <w:sz w:val="24"/>
        </w:rPr>
      </w:pPr>
      <w:r>
        <w:rPr>
          <w:rFonts w:hint="eastAsia" w:ascii="宋体" w:hAnsi="宋体" w:eastAsia="宋体" w:cs="宋体"/>
          <w:color w:val="000000"/>
          <w:sz w:val="24"/>
        </w:rPr>
        <w:t>1.4  招标范围：</w:t>
      </w:r>
      <w:r>
        <w:rPr>
          <w:rFonts w:hint="eastAsia" w:ascii="宋体" w:hAnsi="宋体" w:eastAsia="宋体" w:cs="宋体"/>
          <w:color w:val="000000"/>
          <w:sz w:val="24"/>
          <w:u w:val="single"/>
        </w:rPr>
        <w:t xml:space="preserve">   公开   </w:t>
      </w:r>
      <w:r>
        <w:rPr>
          <w:rFonts w:hint="eastAsia" w:ascii="宋体" w:hAnsi="宋体" w:eastAsia="宋体" w:cs="宋体"/>
          <w:color w:val="000000"/>
          <w:sz w:val="24"/>
        </w:rPr>
        <w:t>招标</w:t>
      </w:r>
      <w:r>
        <w:rPr>
          <w:rFonts w:ascii="宋体" w:hAnsi="宋体" w:eastAsia="宋体" w:cs="宋体"/>
          <w:kern w:val="0"/>
          <w:sz w:val="24"/>
        </w:rPr>
        <w:t>（项目/城市/区域/区间等信息）</w:t>
      </w:r>
      <w:r>
        <w:rPr>
          <w:rFonts w:hint="eastAsia" w:ascii="宋体" w:hAnsi="宋体" w:eastAsia="宋体" w:cs="宋体"/>
          <w:kern w:val="0"/>
          <w:sz w:val="24"/>
        </w:rPr>
        <w:t>。</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二、投标人资格</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2.1 中建股份集采交易平台范围内的合格供方。</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三、招标原则</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3.1 遵循公开、公平、公正和诚实信用的原则。</w:t>
      </w:r>
    </w:p>
    <w:p>
      <w:pPr>
        <w:pStyle w:val="4"/>
        <w:widowControl/>
        <w:spacing w:before="75" w:beforeAutospacing="0" w:after="75" w:afterAutospacing="0"/>
        <w:rPr>
          <w:rFonts w:hint="eastAsia" w:ascii="宋体" w:hAnsi="宋体" w:eastAsia="宋体" w:cs="宋体"/>
          <w:color w:val="000000"/>
        </w:rPr>
      </w:pPr>
      <w:r>
        <w:rPr>
          <w:rFonts w:hint="eastAsia" w:ascii="宋体" w:hAnsi="宋体" w:eastAsia="宋体" w:cs="宋体"/>
          <w:color w:val="000000"/>
        </w:rPr>
        <w:t>3.2 由项目部、分公司</w:t>
      </w:r>
      <w:r>
        <w:rPr>
          <w:rFonts w:hint="eastAsia" w:ascii="宋体" w:hAnsi="宋体" w:eastAsia="宋体" w:cs="宋体"/>
          <w:color w:val="000000"/>
          <w:lang w:eastAsia="zh-CN"/>
        </w:rPr>
        <w:t>生产资源管理</w:t>
      </w:r>
      <w:r>
        <w:rPr>
          <w:rFonts w:hint="eastAsia" w:ascii="宋体" w:hAnsi="宋体" w:eastAsia="宋体" w:cs="宋体"/>
          <w:color w:val="000000"/>
        </w:rPr>
        <w:t>部、经济管理部主管人员组成评标委员会，线上评标。</w:t>
      </w:r>
    </w:p>
    <w:p>
      <w:pPr>
        <w:widowControl w:val="0"/>
        <w:autoSpaceDE w:val="0"/>
        <w:autoSpaceDN w:val="0"/>
        <w:rPr>
          <w:rFonts w:hint="eastAsia" w:ascii="宋体" w:hAnsi="宋体" w:eastAsia="宋体" w:cs="宋体"/>
          <w:color w:val="000000"/>
        </w:rPr>
      </w:pPr>
      <w:r>
        <w:rPr>
          <w:rFonts w:hint="eastAsia" w:ascii="宋体" w:hAnsi="宋体"/>
          <w:color w:val="FF0000"/>
          <w:sz w:val="24"/>
          <w:szCs w:val="24"/>
          <w:lang w:val="en-US" w:eastAsia="zh-CN"/>
        </w:rPr>
        <w:t>3.3严禁围标，</w:t>
      </w:r>
      <w:r>
        <w:rPr>
          <w:rFonts w:hint="eastAsia" w:ascii="宋体" w:hAnsi="宋体"/>
          <w:color w:val="FF0000"/>
          <w:sz w:val="24"/>
          <w:szCs w:val="24"/>
          <w:lang w:eastAsia="zh-CN"/>
        </w:rPr>
        <w:t>串标行为，有关联的企业单位不允许报名参加本次招投标，如两家（含两家）以上有关联的企业单位同时报名本次招投标，视为涉嫌围标，我公司将对涉嫌企业单位分别做</w:t>
      </w:r>
      <w:r>
        <w:rPr>
          <w:rFonts w:hint="eastAsia" w:ascii="宋体" w:hAnsi="宋体"/>
          <w:color w:val="FF0000"/>
          <w:sz w:val="24"/>
          <w:szCs w:val="24"/>
          <w:lang w:val="en-US" w:eastAsia="zh-CN"/>
        </w:rPr>
        <w:t>6-12个月的禁止参加投标的处罚。</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四、定标原则</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4.1 在质量、服务同等的情况下，合理低价中标；</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4.2 在同等条件下，与我公司有过合作经历，无不良记录的投标方我方会作为优先中标的参考因素。</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4.3 报价有效期自开标之日至工程竣工，由此产生的价格波动因素由投标单位综合考虑，自行承担。</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4.4 第一轮报价最高者，不允许进行第二轮报价。</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五、质量要求</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5.1 严格执行国家现行质量标准；</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六、交货、验收要求</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6.1 质量基本条件：材料质量应严格符合国家现行质量标准、招标文件及有关工程施工及验收规范的要求。</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6.2 符合现行国家标准，送货时必须随带出库单。</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6.3 验收方式：</w:t>
      </w:r>
      <w:r>
        <w:rPr>
          <w:rFonts w:hint="eastAsia" w:ascii="宋体" w:hAnsi="宋体"/>
          <w:color w:val="FF0000"/>
          <w:sz w:val="24"/>
          <w:szCs w:val="24"/>
        </w:rPr>
        <w:t>双方验收按送货单确认材料规格及数量。以甲乙双方每月确认的对账单作为结算货款的依据。完工后双方验收确认数量。以开具完工单为准，乙方凭甲方所出完工单作为结算货款的依据</w:t>
      </w:r>
      <w:r>
        <w:rPr>
          <w:rFonts w:hint="eastAsia" w:ascii="宋体" w:hAnsi="宋体"/>
          <w:color w:val="FF0000"/>
          <w:sz w:val="24"/>
          <w:szCs w:val="24"/>
          <w:lang w:eastAsia="zh-CN"/>
        </w:rPr>
        <w:t>，</w:t>
      </w:r>
      <w:r>
        <w:rPr>
          <w:rFonts w:hint="eastAsia" w:ascii="宋体" w:hAnsi="宋体" w:eastAsia="宋体" w:cs="宋体"/>
          <w:color w:val="FF0000"/>
        </w:rPr>
        <w:t>以我方实际验收数量为准。</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6.4 交货时间：以甲方通知的具体时间为准。</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6.5 交货地点：</w:t>
      </w:r>
      <w:r>
        <w:rPr>
          <w:rFonts w:hint="eastAsia" w:ascii="宋体" w:hAnsi="宋体" w:eastAsia="宋体" w:cs="宋体"/>
          <w:color w:val="000000"/>
          <w:lang w:eastAsia="zh-CN"/>
        </w:rPr>
        <w:t>宁波</w:t>
      </w:r>
      <w:r>
        <w:rPr>
          <w:rFonts w:hint="eastAsia" w:ascii="宋体" w:hAnsi="宋体" w:eastAsia="宋体" w:cs="宋体"/>
          <w:color w:val="000000"/>
          <w:w w:val="99"/>
          <w:kern w:val="0"/>
          <w:sz w:val="24"/>
          <w:szCs w:val="24"/>
          <w:lang w:val="en-US" w:eastAsia="zh-CN"/>
        </w:rPr>
        <w:t>华侨城阳光海湾03-04地块</w:t>
      </w:r>
      <w:r>
        <w:rPr>
          <w:rFonts w:hint="eastAsia" w:ascii="宋体" w:hAnsi="宋体" w:eastAsia="宋体" w:cs="宋体"/>
          <w:color w:val="000000"/>
          <w:sz w:val="24"/>
          <w:szCs w:val="24"/>
        </w:rPr>
        <w:t>项目部现场指</w:t>
      </w:r>
      <w:r>
        <w:rPr>
          <w:rFonts w:hint="eastAsia" w:ascii="宋体" w:hAnsi="宋体" w:eastAsia="宋体" w:cs="宋体"/>
          <w:color w:val="000000"/>
        </w:rPr>
        <w:t>定地点。</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七、付款方式</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7.1 预付款：本合同无预付款。</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7.2  付款方式：本工程暂按以下方式进行付款</w:t>
      </w:r>
    </w:p>
    <w:p>
      <w:pPr>
        <w:pStyle w:val="4"/>
        <w:widowControl/>
        <w:spacing w:before="75" w:beforeAutospacing="0" w:after="75" w:afterAutospacing="0"/>
        <w:rPr>
          <w:rFonts w:hint="eastAsia" w:ascii="宋体" w:hAnsi="宋体" w:eastAsia="宋体" w:cs="宋体"/>
          <w:color w:val="000000"/>
          <w:lang w:eastAsia="zh-CN"/>
        </w:rPr>
      </w:pPr>
      <w:r>
        <w:rPr>
          <w:rFonts w:hint="eastAsia" w:ascii="宋体" w:hAnsi="宋体" w:eastAsia="宋体" w:cs="宋体"/>
          <w:color w:val="000000"/>
        </w:rPr>
        <w:t>7.2.1现金支付</w:t>
      </w:r>
      <w:r>
        <w:rPr>
          <w:rFonts w:hint="eastAsia" w:ascii="宋体" w:hAnsi="宋体" w:eastAsia="宋体" w:cs="宋体"/>
          <w:color w:val="000000"/>
          <w:lang w:eastAsia="zh-CN"/>
        </w:rPr>
        <w:t>，转账。</w:t>
      </w:r>
    </w:p>
    <w:p>
      <w:pPr>
        <w:pStyle w:val="4"/>
        <w:widowControl/>
        <w:spacing w:before="75" w:beforeAutospacing="0" w:after="75" w:afterAutospacing="0"/>
        <w:rPr>
          <w:rFonts w:ascii="宋体" w:hAnsi="宋体" w:eastAsia="宋体" w:cs="宋体"/>
          <w:color w:val="000000"/>
          <w:sz w:val="24"/>
          <w:szCs w:val="24"/>
        </w:rPr>
      </w:pPr>
      <w:r>
        <w:rPr>
          <w:rFonts w:hint="eastAsia" w:ascii="宋体" w:hAnsi="宋体" w:eastAsia="宋体" w:cs="宋体"/>
          <w:color w:val="000000"/>
        </w:rPr>
        <w:t>(</w:t>
      </w:r>
      <w:r>
        <w:rPr>
          <w:rFonts w:hint="eastAsia" w:ascii="宋体" w:hAnsi="宋体" w:eastAsia="宋体" w:cs="宋体"/>
          <w:color w:val="000000"/>
          <w:sz w:val="24"/>
          <w:szCs w:val="24"/>
        </w:rPr>
        <w:t>1)双方每月2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日前书面对帐确认完上月2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日至本月2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日发生的货款。</w:t>
      </w:r>
    </w:p>
    <w:p>
      <w:pPr>
        <w:autoSpaceDN w:val="0"/>
        <w:spacing w:line="440" w:lineRule="atLeast"/>
        <w:rPr>
          <w:rFonts w:hint="eastAsia" w:ascii="宋体" w:hAnsi="宋体"/>
          <w:color w:val="000000"/>
          <w:sz w:val="28"/>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每</w:t>
      </w:r>
      <w:r>
        <w:rPr>
          <w:rFonts w:hint="eastAsia" w:ascii="宋体" w:hAnsi="宋体" w:eastAsia="宋体" w:cs="宋体"/>
          <w:color w:val="000000"/>
          <w:sz w:val="24"/>
          <w:szCs w:val="24"/>
        </w:rPr>
        <w:t>月支付上月对帐货款的70%，</w:t>
      </w:r>
      <w:r>
        <w:rPr>
          <w:rFonts w:hint="eastAsia" w:ascii="宋体" w:hAnsi="宋体"/>
          <w:color w:val="000000"/>
          <w:sz w:val="24"/>
          <w:szCs w:val="24"/>
          <w:lang w:eastAsia="zh-CN"/>
        </w:rPr>
        <w:t>剩余</w:t>
      </w:r>
      <w:r>
        <w:rPr>
          <w:rFonts w:hint="eastAsia" w:ascii="宋体" w:hAnsi="宋体"/>
          <w:color w:val="000000"/>
          <w:sz w:val="24"/>
          <w:szCs w:val="24"/>
        </w:rPr>
        <w:t>货款的</w:t>
      </w:r>
      <w:r>
        <w:rPr>
          <w:rFonts w:hint="eastAsia" w:ascii="宋体" w:hAnsi="宋体"/>
          <w:color w:val="000000"/>
          <w:sz w:val="24"/>
          <w:szCs w:val="24"/>
          <w:lang w:val="en-US" w:eastAsia="zh-CN"/>
        </w:rPr>
        <w:t>3</w:t>
      </w:r>
      <w:r>
        <w:rPr>
          <w:rFonts w:hint="eastAsia" w:ascii="宋体" w:hAnsi="宋体"/>
          <w:color w:val="000000"/>
          <w:sz w:val="24"/>
          <w:szCs w:val="24"/>
        </w:rPr>
        <w:t>0%</w:t>
      </w:r>
      <w:r>
        <w:rPr>
          <w:rFonts w:hint="eastAsia" w:ascii="宋体" w:hAnsi="宋体"/>
          <w:color w:val="000000"/>
          <w:sz w:val="24"/>
          <w:szCs w:val="24"/>
          <w:lang w:eastAsia="zh-CN"/>
        </w:rPr>
        <w:t>在</w:t>
      </w:r>
      <w:r>
        <w:rPr>
          <w:rFonts w:hint="eastAsia" w:ascii="宋体" w:hAnsi="宋体"/>
          <w:color w:val="000000"/>
          <w:sz w:val="24"/>
          <w:szCs w:val="24"/>
        </w:rPr>
        <w:t>主体结构（含二次结构）封顶</w:t>
      </w:r>
      <w:r>
        <w:rPr>
          <w:rFonts w:hint="eastAsia" w:ascii="宋体" w:hAnsi="宋体"/>
          <w:color w:val="000000"/>
          <w:sz w:val="24"/>
          <w:szCs w:val="24"/>
          <w:lang w:eastAsia="zh-CN"/>
        </w:rPr>
        <w:t>后</w:t>
      </w:r>
      <w:r>
        <w:rPr>
          <w:rFonts w:hint="eastAsia" w:ascii="宋体" w:hAnsi="宋体"/>
          <w:color w:val="000000"/>
          <w:sz w:val="24"/>
          <w:szCs w:val="24"/>
        </w:rPr>
        <w:t>双方办理结算后</w:t>
      </w:r>
      <w:r>
        <w:rPr>
          <w:rFonts w:hint="eastAsia" w:ascii="宋体" w:hAnsi="宋体"/>
          <w:color w:val="000000"/>
          <w:sz w:val="24"/>
          <w:szCs w:val="24"/>
          <w:lang w:eastAsia="zh-CN"/>
        </w:rPr>
        <w:t>三</w:t>
      </w:r>
      <w:r>
        <w:rPr>
          <w:rFonts w:hint="eastAsia" w:ascii="宋体" w:hAnsi="宋体"/>
          <w:color w:val="000000"/>
          <w:sz w:val="24"/>
          <w:szCs w:val="24"/>
        </w:rPr>
        <w:t>个月</w:t>
      </w:r>
      <w:r>
        <w:rPr>
          <w:rFonts w:hint="eastAsia" w:ascii="宋体" w:hAnsi="宋体"/>
          <w:color w:val="000000"/>
          <w:sz w:val="24"/>
          <w:szCs w:val="24"/>
          <w:lang w:eastAsia="zh-CN"/>
        </w:rPr>
        <w:t>内</w:t>
      </w:r>
      <w:r>
        <w:rPr>
          <w:rFonts w:hint="eastAsia" w:ascii="宋体" w:hAnsi="宋体"/>
          <w:color w:val="000000"/>
          <w:sz w:val="24"/>
          <w:szCs w:val="24"/>
        </w:rPr>
        <w:t>付</w:t>
      </w:r>
      <w:r>
        <w:rPr>
          <w:rFonts w:hint="eastAsia" w:ascii="宋体" w:hAnsi="宋体" w:eastAsia="宋体" w:cs="宋体"/>
          <w:color w:val="000000"/>
          <w:sz w:val="24"/>
          <w:szCs w:val="24"/>
          <w:lang w:val="en-US" w:eastAsia="zh-CN"/>
        </w:rPr>
        <w:t>95</w:t>
      </w:r>
      <w:r>
        <w:rPr>
          <w:rFonts w:hint="eastAsia" w:ascii="宋体" w:hAnsi="宋体" w:eastAsia="宋体" w:cs="宋体"/>
          <w:color w:val="000000"/>
          <w:sz w:val="24"/>
          <w:szCs w:val="24"/>
        </w:rPr>
        <w:t>%，</w:t>
      </w:r>
      <w:r>
        <w:rPr>
          <w:rFonts w:hint="eastAsia" w:ascii="宋体" w:hAnsi="宋体"/>
          <w:color w:val="000000"/>
          <w:sz w:val="24"/>
          <w:szCs w:val="24"/>
          <w:lang w:eastAsia="zh-CN"/>
        </w:rPr>
        <w:t>余</w:t>
      </w:r>
      <w:r>
        <w:rPr>
          <w:rFonts w:hint="eastAsia" w:ascii="宋体" w:hAnsi="宋体"/>
          <w:color w:val="000000"/>
          <w:sz w:val="24"/>
          <w:szCs w:val="24"/>
        </w:rPr>
        <w:t>货款的</w:t>
      </w: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eastAsia="zh-CN"/>
        </w:rPr>
        <w:t>作为质量保证金待工程主体验收六个月无息付清，</w:t>
      </w:r>
      <w:r>
        <w:rPr>
          <w:rFonts w:hint="eastAsia" w:ascii="宋体" w:hAnsi="宋体"/>
          <w:color w:val="000000"/>
          <w:sz w:val="24"/>
          <w:szCs w:val="24"/>
        </w:rPr>
        <w:t>（对账完成后需及时提供相应</w:t>
      </w:r>
      <w:r>
        <w:rPr>
          <w:rFonts w:hint="eastAsia" w:ascii="宋体" w:hAnsi="宋体"/>
          <w:color w:val="000000"/>
          <w:sz w:val="24"/>
          <w:szCs w:val="24"/>
          <w:lang w:val="en-US" w:eastAsia="zh-CN"/>
        </w:rPr>
        <w:t>1</w:t>
      </w:r>
      <w:r>
        <w:rPr>
          <w:rFonts w:hint="eastAsia" w:ascii="宋体" w:hAnsi="宋体"/>
          <w:color w:val="000000"/>
          <w:sz w:val="24"/>
          <w:szCs w:val="24"/>
        </w:rPr>
        <w:t>3%的增值税专用发票，若因乙方发票提供不及时导致财务无法及时入账而不能付款的责任由乙方自行承担）</w:t>
      </w:r>
      <w:r>
        <w:rPr>
          <w:rFonts w:hint="eastAsia" w:ascii="宋体" w:hAnsi="宋体"/>
          <w:color w:val="000000"/>
          <w:sz w:val="28"/>
        </w:rPr>
        <w:t>。</w:t>
      </w:r>
    </w:p>
    <w:p>
      <w:pPr>
        <w:pStyle w:val="4"/>
        <w:widowControl/>
        <w:spacing w:before="75" w:beforeAutospacing="0" w:after="75" w:afterAutospacing="0"/>
        <w:rPr>
          <w:rFonts w:ascii="宋体" w:hAnsi="宋体" w:eastAsia="宋体" w:cs="宋体"/>
          <w:color w:val="000000"/>
        </w:rPr>
      </w:pPr>
      <w:r>
        <w:rPr>
          <w:rFonts w:hint="eastAsia" w:ascii="宋体" w:hAnsi="宋体" w:eastAsia="宋体" w:cs="宋体"/>
          <w:color w:val="000000"/>
        </w:rPr>
        <w:t>7.2.2供方必需提供“营改增”后能抵扣的增值税专用发票（</w:t>
      </w:r>
      <w:r>
        <w:rPr>
          <w:rFonts w:hint="eastAsia" w:ascii="宋体" w:hAnsi="宋体" w:eastAsia="宋体" w:cs="宋体"/>
          <w:color w:val="000000"/>
          <w:lang w:val="en-US" w:eastAsia="zh-CN"/>
        </w:rPr>
        <w:t>1</w:t>
      </w:r>
      <w:r>
        <w:rPr>
          <w:rFonts w:hint="eastAsia" w:ascii="宋体" w:hAnsi="宋体" w:eastAsia="宋体" w:cs="宋体"/>
          <w:color w:val="000000"/>
        </w:rPr>
        <w:t>3个税点）。</w:t>
      </w:r>
    </w:p>
    <w:p>
      <w:pPr>
        <w:pStyle w:val="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rPr>
        <w:t>八、开标时间：见招标文件。</w:t>
      </w:r>
    </w:p>
    <w:p>
      <w:pPr>
        <w:widowControl w:val="0"/>
        <w:autoSpaceDE w:val="0"/>
        <w:autoSpaceDN w:val="0"/>
        <w:ind w:right="-4378" w:rightChars="-2085"/>
        <w:rPr>
          <w:rFonts w:hint="default" w:ascii="宋体" w:hAnsi="宋体"/>
          <w:b w:val="0"/>
          <w:bCs w:val="0"/>
          <w:color w:val="000000"/>
          <w:sz w:val="24"/>
          <w:szCs w:val="24"/>
          <w:lang w:val="en-US"/>
        </w:rPr>
      </w:pPr>
      <w:r>
        <w:rPr>
          <w:rFonts w:hint="eastAsia" w:ascii="宋体" w:hAnsi="宋体" w:eastAsia="宋体" w:cs="宋体"/>
          <w:color w:val="000000"/>
          <w:sz w:val="24"/>
        </w:rPr>
        <w:t>九、</w:t>
      </w:r>
      <w:r>
        <w:rPr>
          <w:rFonts w:ascii="宋体" w:hAnsi="宋体" w:eastAsia="宋体" w:cs="宋体"/>
          <w:kern w:val="0"/>
          <w:sz w:val="24"/>
        </w:rPr>
        <w:t>联系方式</w:t>
      </w:r>
      <w:r>
        <w:rPr>
          <w:rFonts w:ascii="宋体" w:hAnsi="宋体" w:eastAsia="宋体" w:cs="宋体"/>
          <w:kern w:val="0"/>
          <w:sz w:val="24"/>
        </w:rPr>
        <w:br w:type="textWrapping"/>
      </w:r>
      <w:r>
        <w:rPr>
          <w:rFonts w:ascii="宋体" w:hAnsi="宋体" w:eastAsia="宋体" w:cs="宋体"/>
          <w:kern w:val="0"/>
          <w:sz w:val="24"/>
        </w:rPr>
        <w:t>招 标 </w:t>
      </w:r>
      <w:r>
        <w:rPr>
          <w:rFonts w:hint="eastAsia" w:ascii="宋体" w:hAnsi="宋体" w:eastAsia="宋体" w:cs="宋体"/>
          <w:kern w:val="0"/>
          <w:sz w:val="24"/>
        </w:rPr>
        <w:t xml:space="preserve"> </w:t>
      </w:r>
      <w:r>
        <w:rPr>
          <w:rFonts w:ascii="宋体" w:hAnsi="宋体" w:eastAsia="宋体" w:cs="宋体"/>
          <w:kern w:val="0"/>
          <w:sz w:val="24"/>
        </w:rPr>
        <w:t>人：</w:t>
      </w:r>
      <w:r>
        <w:rPr>
          <w:rFonts w:ascii="宋体" w:hAnsi="宋体" w:eastAsia="宋体" w:cs="宋体"/>
          <w:b w:val="0"/>
          <w:bCs w:val="0"/>
          <w:kern w:val="0"/>
          <w:sz w:val="24"/>
          <w:szCs w:val="24"/>
        </w:rPr>
        <w:t> </w:t>
      </w:r>
      <w:r>
        <w:rPr>
          <w:rFonts w:hint="eastAsia" w:ascii="宋体" w:hAnsi="宋体" w:eastAsia="宋体" w:cs="宋体"/>
          <w:b w:val="0"/>
          <w:bCs w:val="0"/>
          <w:kern w:val="0"/>
          <w:sz w:val="24"/>
          <w:szCs w:val="24"/>
          <w:lang w:eastAsia="zh-CN"/>
        </w:rPr>
        <w:t>黄寿生</w:t>
      </w:r>
      <w:r>
        <w:rPr>
          <w:rFonts w:ascii="宋体" w:hAnsi="宋体" w:eastAsia="宋体" w:cs="宋体"/>
          <w:b w:val="0"/>
          <w:bCs w:val="0"/>
          <w:kern w:val="0"/>
          <w:sz w:val="24"/>
          <w:szCs w:val="24"/>
        </w:rPr>
        <w:t> </w:t>
      </w:r>
      <w:r>
        <w:rPr>
          <w:rFonts w:ascii="宋体" w:hAnsi="宋体" w:eastAsia="宋体" w:cs="宋体"/>
          <w:b w:val="0"/>
          <w:bCs w:val="0"/>
          <w:kern w:val="0"/>
          <w:sz w:val="24"/>
          <w:szCs w:val="24"/>
        </w:rPr>
        <w:br w:type="textWrapping"/>
      </w:r>
      <w:r>
        <w:rPr>
          <w:rFonts w:ascii="宋体" w:hAnsi="宋体" w:eastAsia="宋体" w:cs="宋体"/>
          <w:b w:val="0"/>
          <w:bCs w:val="0"/>
          <w:kern w:val="0"/>
          <w:sz w:val="24"/>
          <w:szCs w:val="24"/>
        </w:rPr>
        <w:t>地  </w:t>
      </w:r>
      <w:r>
        <w:rPr>
          <w:rFonts w:hint="eastAsia" w:ascii="宋体" w:hAnsi="宋体" w:eastAsia="宋体" w:cs="宋体"/>
          <w:b w:val="0"/>
          <w:bCs w:val="0"/>
          <w:kern w:val="0"/>
          <w:sz w:val="24"/>
          <w:szCs w:val="24"/>
        </w:rPr>
        <w:t xml:space="preserve">   </w:t>
      </w:r>
      <w:r>
        <w:rPr>
          <w:rFonts w:ascii="宋体" w:hAnsi="宋体" w:eastAsia="宋体" w:cs="宋体"/>
          <w:b w:val="0"/>
          <w:bCs w:val="0"/>
          <w:kern w:val="0"/>
          <w:sz w:val="24"/>
          <w:szCs w:val="24"/>
        </w:rPr>
        <w:t>址： </w:t>
      </w:r>
      <w:r>
        <w:rPr>
          <w:rFonts w:hint="eastAsia" w:ascii="宋体" w:hAnsi="宋体" w:eastAsia="宋体" w:cs="宋体"/>
          <w:b w:val="0"/>
          <w:bCs w:val="0"/>
          <w:kern w:val="0"/>
          <w:sz w:val="24"/>
          <w:szCs w:val="24"/>
          <w:lang w:eastAsia="zh-CN"/>
        </w:rPr>
        <w:t>宁波市奉化区裘村镇</w:t>
      </w:r>
      <w:r>
        <w:rPr>
          <w:rFonts w:ascii="宋体" w:hAnsi="宋体" w:eastAsia="宋体" w:cs="宋体"/>
          <w:b w:val="0"/>
          <w:bCs w:val="0"/>
          <w:kern w:val="0"/>
          <w:sz w:val="24"/>
          <w:szCs w:val="24"/>
        </w:rPr>
        <w:t> </w:t>
      </w:r>
      <w:r>
        <w:rPr>
          <w:rFonts w:ascii="宋体" w:hAnsi="宋体" w:eastAsia="宋体" w:cs="宋体"/>
          <w:b w:val="0"/>
          <w:bCs w:val="0"/>
          <w:kern w:val="0"/>
          <w:sz w:val="24"/>
          <w:szCs w:val="24"/>
        </w:rPr>
        <w:br w:type="textWrapping"/>
      </w:r>
      <w:r>
        <w:rPr>
          <w:rFonts w:ascii="宋体" w:hAnsi="宋体" w:eastAsia="宋体" w:cs="宋体"/>
          <w:b w:val="0"/>
          <w:bCs w:val="0"/>
          <w:kern w:val="0"/>
          <w:sz w:val="24"/>
          <w:szCs w:val="24"/>
        </w:rPr>
        <w:t>联 系 </w:t>
      </w:r>
      <w:r>
        <w:rPr>
          <w:rFonts w:hint="eastAsia" w:ascii="宋体" w:hAnsi="宋体" w:eastAsia="宋体" w:cs="宋体"/>
          <w:b w:val="0"/>
          <w:bCs w:val="0"/>
          <w:kern w:val="0"/>
          <w:sz w:val="24"/>
          <w:szCs w:val="24"/>
        </w:rPr>
        <w:t xml:space="preserve"> </w:t>
      </w:r>
      <w:r>
        <w:rPr>
          <w:rFonts w:ascii="宋体" w:hAnsi="宋体" w:eastAsia="宋体" w:cs="宋体"/>
          <w:b w:val="0"/>
          <w:bCs w:val="0"/>
          <w:kern w:val="0"/>
          <w:sz w:val="24"/>
          <w:szCs w:val="24"/>
        </w:rPr>
        <w:t>人： </w:t>
      </w:r>
      <w:r>
        <w:rPr>
          <w:rFonts w:hint="eastAsia" w:ascii="宋体" w:hAnsi="宋体" w:eastAsia="宋体" w:cs="宋体"/>
          <w:b w:val="0"/>
          <w:bCs w:val="0"/>
          <w:kern w:val="0"/>
          <w:sz w:val="24"/>
          <w:szCs w:val="24"/>
          <w:lang w:eastAsia="zh-CN"/>
        </w:rPr>
        <w:t>黄寿生</w:t>
      </w:r>
      <w:r>
        <w:rPr>
          <w:rFonts w:ascii="宋体" w:hAnsi="宋体" w:eastAsia="宋体" w:cs="宋体"/>
          <w:b w:val="0"/>
          <w:bCs w:val="0"/>
          <w:kern w:val="0"/>
          <w:sz w:val="24"/>
          <w:szCs w:val="24"/>
        </w:rPr>
        <w:t>                      </w:t>
      </w:r>
      <w:r>
        <w:rPr>
          <w:rFonts w:ascii="宋体" w:hAnsi="宋体" w:eastAsia="宋体" w:cs="宋体"/>
          <w:b w:val="0"/>
          <w:bCs w:val="0"/>
          <w:kern w:val="0"/>
          <w:sz w:val="24"/>
          <w:szCs w:val="24"/>
        </w:rPr>
        <w:br w:type="textWrapping"/>
      </w:r>
      <w:r>
        <w:rPr>
          <w:rFonts w:ascii="宋体" w:hAnsi="宋体" w:eastAsia="宋体" w:cs="宋体"/>
          <w:b w:val="0"/>
          <w:bCs w:val="0"/>
          <w:kern w:val="0"/>
          <w:sz w:val="24"/>
          <w:szCs w:val="24"/>
        </w:rPr>
        <w:t>电  </w:t>
      </w:r>
      <w:r>
        <w:rPr>
          <w:rFonts w:hint="eastAsia" w:ascii="宋体" w:hAnsi="宋体" w:eastAsia="宋体" w:cs="宋体"/>
          <w:b w:val="0"/>
          <w:bCs w:val="0"/>
          <w:kern w:val="0"/>
          <w:sz w:val="24"/>
          <w:szCs w:val="24"/>
        </w:rPr>
        <w:t xml:space="preserve"> </w:t>
      </w:r>
      <w:r>
        <w:rPr>
          <w:rFonts w:ascii="宋体" w:hAnsi="宋体" w:eastAsia="宋体" w:cs="宋体"/>
          <w:b w:val="0"/>
          <w:bCs w:val="0"/>
          <w:kern w:val="0"/>
          <w:sz w:val="24"/>
          <w:szCs w:val="24"/>
        </w:rPr>
        <w:t> 话：</w:t>
      </w:r>
      <w:r>
        <w:rPr>
          <w:rFonts w:hint="eastAsia" w:ascii="宋体" w:hAnsi="宋体" w:eastAsia="宋体" w:cs="宋体"/>
          <w:b w:val="0"/>
          <w:bCs w:val="0"/>
          <w:kern w:val="0"/>
          <w:sz w:val="24"/>
          <w:szCs w:val="24"/>
          <w:lang w:val="en-US" w:eastAsia="zh-CN"/>
        </w:rPr>
        <w:t xml:space="preserve">  </w:t>
      </w:r>
      <w:r>
        <w:rPr>
          <w:rFonts w:hint="eastAsia" w:ascii="宋体" w:hAnsi="宋体"/>
          <w:b w:val="0"/>
          <w:bCs w:val="0"/>
          <w:color w:val="000000"/>
          <w:sz w:val="24"/>
          <w:szCs w:val="24"/>
          <w:lang w:val="en-US" w:eastAsia="zh-CN"/>
        </w:rPr>
        <w:t>18260226418</w:t>
      </w:r>
    </w:p>
    <w:p>
      <w:pPr>
        <w:widowControl/>
        <w:jc w:val="left"/>
      </w:pPr>
      <w:r>
        <w:rPr>
          <w:rFonts w:ascii="宋体" w:hAnsi="宋体" w:eastAsia="宋体" w:cs="宋体"/>
          <w:kern w:val="0"/>
          <w:sz w:val="24"/>
        </w:rPr>
        <w:t>电</w:t>
      </w:r>
      <w:r>
        <w:rPr>
          <w:rFonts w:hint="eastAsia" w:ascii="宋体" w:hAnsi="宋体" w:eastAsia="宋体" w:cs="宋体"/>
          <w:kern w:val="0"/>
          <w:sz w:val="24"/>
        </w:rPr>
        <w:t xml:space="preserve"> </w:t>
      </w:r>
      <w:r>
        <w:rPr>
          <w:rFonts w:ascii="宋体" w:hAnsi="宋体" w:eastAsia="宋体" w:cs="宋体"/>
          <w:kern w:val="0"/>
          <w:sz w:val="24"/>
        </w:rPr>
        <w:t>子</w:t>
      </w:r>
      <w:r>
        <w:rPr>
          <w:rFonts w:hint="eastAsia" w:ascii="宋体" w:hAnsi="宋体" w:eastAsia="宋体" w:cs="宋体"/>
          <w:kern w:val="0"/>
          <w:sz w:val="24"/>
        </w:rPr>
        <w:t xml:space="preserve"> </w:t>
      </w:r>
      <w:r>
        <w:rPr>
          <w:rFonts w:ascii="宋体" w:hAnsi="宋体" w:eastAsia="宋体" w:cs="宋体"/>
          <w:kern w:val="0"/>
          <w:sz w:val="24"/>
        </w:rPr>
        <w:t>邮</w:t>
      </w:r>
      <w:r>
        <w:rPr>
          <w:rFonts w:hint="eastAsia" w:ascii="宋体" w:hAnsi="宋体" w:eastAsia="宋体" w:cs="宋体"/>
          <w:kern w:val="0"/>
          <w:sz w:val="24"/>
        </w:rPr>
        <w:t xml:space="preserve"> </w:t>
      </w:r>
      <w:r>
        <w:rPr>
          <w:rFonts w:ascii="宋体" w:hAnsi="宋体" w:eastAsia="宋体" w:cs="宋体"/>
          <w:kern w:val="0"/>
          <w:sz w:val="24"/>
        </w:rPr>
        <w:t>件：        </w:t>
      </w:r>
    </w:p>
    <w:p>
      <w:pPr>
        <w:pStyle w:val="4"/>
        <w:widowControl/>
        <w:spacing w:before="75" w:beforeAutospacing="0" w:after="75" w:afterAutospacing="0"/>
        <w:rPr>
          <w:rFonts w:ascii="宋体" w:hAnsi="宋体" w:eastAsia="宋体" w:cs="宋体"/>
          <w:color w:val="000000"/>
        </w:rPr>
      </w:pPr>
      <w:r>
        <w:rPr>
          <w:rFonts w:hint="eastAsia" w:ascii="宋体" w:hAnsi="宋体" w:eastAsia="宋体" w:cs="宋体"/>
          <w:color w:val="000000"/>
        </w:rPr>
        <w:t>十、招标清单</w:t>
      </w:r>
    </w:p>
    <w:tbl>
      <w:tblPr>
        <w:tblStyle w:val="5"/>
        <w:tblpPr w:leftFromText="180" w:rightFromText="180" w:vertAnchor="text" w:horzAnchor="page" w:tblpXSpec="center" w:tblpY="129"/>
        <w:tblOverlap w:val="never"/>
        <w:tblW w:w="10734" w:type="dxa"/>
        <w:tblInd w:w="0" w:type="dxa"/>
        <w:tblLayout w:type="fixed"/>
        <w:tblCellMar>
          <w:top w:w="0" w:type="dxa"/>
          <w:left w:w="0" w:type="dxa"/>
          <w:bottom w:w="0" w:type="dxa"/>
          <w:right w:w="0" w:type="dxa"/>
        </w:tblCellMar>
      </w:tblPr>
      <w:tblGrid>
        <w:gridCol w:w="667"/>
        <w:gridCol w:w="1866"/>
        <w:gridCol w:w="1436"/>
        <w:gridCol w:w="729"/>
        <w:gridCol w:w="1359"/>
        <w:gridCol w:w="1417"/>
        <w:gridCol w:w="1404"/>
        <w:gridCol w:w="1020"/>
        <w:gridCol w:w="836"/>
      </w:tblGrid>
      <w:tr>
        <w:tblPrEx>
          <w:tblCellMar>
            <w:top w:w="0" w:type="dxa"/>
            <w:left w:w="0" w:type="dxa"/>
            <w:bottom w:w="0" w:type="dxa"/>
            <w:right w:w="0" w:type="dxa"/>
          </w:tblCellMar>
        </w:tblPrEx>
        <w:trPr>
          <w:trHeight w:val="958" w:hRule="atLeast"/>
        </w:trPr>
        <w:tc>
          <w:tcPr>
            <w:tcW w:w="66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60" w:lineRule="atLeast"/>
              <w:jc w:val="center"/>
            </w:pPr>
            <w:r>
              <w:rPr>
                <w:rFonts w:hint="eastAsia" w:ascii="宋体" w:hAnsi="宋体" w:eastAsia="宋体" w:cs="宋体"/>
                <w:color w:val="000000"/>
              </w:rPr>
              <w:t>序号</w:t>
            </w:r>
          </w:p>
        </w:tc>
        <w:tc>
          <w:tcPr>
            <w:tcW w:w="186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60" w:lineRule="atLeast"/>
              <w:jc w:val="center"/>
            </w:pPr>
            <w:r>
              <w:rPr>
                <w:rFonts w:hint="eastAsia" w:ascii="宋体" w:hAnsi="宋体" w:eastAsia="宋体" w:cs="宋体"/>
                <w:color w:val="000000"/>
              </w:rPr>
              <w:t>材料名称</w:t>
            </w:r>
          </w:p>
        </w:tc>
        <w:tc>
          <w:tcPr>
            <w:tcW w:w="1436"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4"/>
              <w:widowControl/>
              <w:spacing w:beforeAutospacing="0" w:afterAutospacing="0" w:line="360" w:lineRule="atLeast"/>
              <w:jc w:val="center"/>
              <w:rPr>
                <w:rFonts w:hint="eastAsia" w:ascii="宋体" w:hAnsi="宋体" w:eastAsia="宋体" w:cs="宋体"/>
                <w:color w:val="000000"/>
                <w:lang w:eastAsia="zh-CN"/>
              </w:rPr>
            </w:pPr>
            <w:r>
              <w:rPr>
                <w:rFonts w:hint="eastAsia" w:ascii="宋体" w:hAnsi="宋体" w:eastAsia="宋体" w:cs="宋体"/>
                <w:color w:val="000000"/>
                <w:lang w:eastAsia="zh-CN"/>
              </w:rPr>
              <w:t>规格</w:t>
            </w:r>
          </w:p>
        </w:tc>
        <w:tc>
          <w:tcPr>
            <w:tcW w:w="729"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4"/>
              <w:widowControl/>
              <w:spacing w:beforeAutospacing="0" w:afterAutospacing="0" w:line="360" w:lineRule="atLeast"/>
              <w:jc w:val="center"/>
              <w:rPr>
                <w:rFonts w:hint="eastAsia" w:ascii="宋体" w:hAnsi="宋体" w:eastAsia="宋体" w:cs="宋体"/>
                <w:color w:val="000000"/>
                <w:lang w:eastAsia="zh-CN"/>
              </w:rPr>
            </w:pPr>
            <w:r>
              <w:rPr>
                <w:rFonts w:hint="eastAsia" w:ascii="宋体" w:hAnsi="宋体" w:eastAsia="宋体" w:cs="宋体"/>
                <w:color w:val="000000"/>
                <w:lang w:eastAsia="zh-CN"/>
              </w:rPr>
              <w:t>单位</w:t>
            </w:r>
          </w:p>
        </w:tc>
        <w:tc>
          <w:tcPr>
            <w:tcW w:w="1359"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4"/>
              <w:widowControl/>
              <w:spacing w:beforeAutospacing="0" w:afterAutospacing="0" w:line="360" w:lineRule="atLeast"/>
              <w:jc w:val="center"/>
            </w:pPr>
            <w:r>
              <w:rPr>
                <w:rFonts w:hint="eastAsia" w:ascii="宋体" w:hAnsi="宋体" w:eastAsia="宋体" w:cs="宋体"/>
                <w:color w:val="000000"/>
              </w:rPr>
              <w:t>数量</w:t>
            </w:r>
          </w:p>
        </w:tc>
        <w:tc>
          <w:tcPr>
            <w:tcW w:w="1417" w:type="dxa"/>
            <w:tcBorders>
              <w:top w:val="single" w:color="auto" w:sz="6" w:space="0"/>
              <w:left w:val="nil"/>
              <w:bottom w:val="single" w:color="auto" w:sz="4" w:space="0"/>
              <w:right w:val="single" w:color="auto" w:sz="4" w:space="0"/>
            </w:tcBorders>
            <w:shd w:val="clear" w:color="auto" w:fill="auto"/>
            <w:tcMar>
              <w:left w:w="105" w:type="dxa"/>
              <w:right w:w="105" w:type="dxa"/>
            </w:tcMar>
            <w:vAlign w:val="center"/>
          </w:tcPr>
          <w:p>
            <w:pPr>
              <w:pStyle w:val="4"/>
              <w:widowControl/>
              <w:spacing w:beforeAutospacing="0" w:afterAutospacing="0" w:line="360" w:lineRule="atLeast"/>
            </w:pPr>
            <w:r>
              <w:rPr>
                <w:rFonts w:hint="eastAsia"/>
              </w:rPr>
              <w:t>不含税单价</w:t>
            </w:r>
          </w:p>
        </w:tc>
        <w:tc>
          <w:tcPr>
            <w:tcW w:w="1404" w:type="dxa"/>
            <w:tcBorders>
              <w:top w:val="single" w:color="auto" w:sz="6" w:space="0"/>
              <w:left w:val="single" w:color="auto" w:sz="4" w:space="0"/>
              <w:bottom w:val="single" w:color="auto" w:sz="4" w:space="0"/>
              <w:right w:val="single" w:color="auto" w:sz="4" w:space="0"/>
            </w:tcBorders>
            <w:shd w:val="clear" w:color="auto" w:fill="auto"/>
            <w:vAlign w:val="center"/>
          </w:tcPr>
          <w:p>
            <w:pPr>
              <w:pStyle w:val="4"/>
              <w:spacing w:line="360" w:lineRule="atLeast"/>
            </w:pPr>
            <w:r>
              <w:rPr>
                <w:rFonts w:hint="eastAsia"/>
              </w:rPr>
              <w:t>增值税（</w:t>
            </w:r>
            <w:r>
              <w:rPr>
                <w:rFonts w:hint="eastAsia"/>
                <w:lang w:val="en-US" w:eastAsia="zh-CN"/>
              </w:rPr>
              <w:t>1</w:t>
            </w:r>
            <w:r>
              <w:rPr>
                <w:rFonts w:hint="eastAsia"/>
              </w:rPr>
              <w:t>3%）</w:t>
            </w:r>
          </w:p>
        </w:tc>
        <w:tc>
          <w:tcPr>
            <w:tcW w:w="1020" w:type="dxa"/>
            <w:tcBorders>
              <w:top w:val="single" w:color="auto" w:sz="6" w:space="0"/>
              <w:left w:val="single" w:color="auto" w:sz="4" w:space="0"/>
              <w:bottom w:val="single" w:color="auto" w:sz="4" w:space="0"/>
              <w:right w:val="single" w:color="auto" w:sz="4" w:space="0"/>
            </w:tcBorders>
            <w:shd w:val="clear" w:color="auto" w:fill="auto"/>
            <w:vAlign w:val="center"/>
          </w:tcPr>
          <w:p>
            <w:pPr>
              <w:pStyle w:val="4"/>
              <w:spacing w:line="360" w:lineRule="atLeast"/>
              <w:jc w:val="center"/>
            </w:pPr>
            <w:r>
              <w:rPr>
                <w:rFonts w:hint="eastAsia"/>
              </w:rPr>
              <w:t>含税单价</w:t>
            </w:r>
          </w:p>
        </w:tc>
        <w:tc>
          <w:tcPr>
            <w:tcW w:w="836" w:type="dxa"/>
            <w:tcBorders>
              <w:top w:val="single" w:color="auto" w:sz="6" w:space="0"/>
              <w:left w:val="single" w:color="auto" w:sz="4" w:space="0"/>
              <w:bottom w:val="single" w:color="auto" w:sz="4" w:space="0"/>
              <w:right w:val="single" w:color="auto" w:sz="6" w:space="0"/>
            </w:tcBorders>
            <w:shd w:val="clear" w:color="auto" w:fill="auto"/>
            <w:vAlign w:val="center"/>
          </w:tcPr>
          <w:p>
            <w:pPr>
              <w:pStyle w:val="4"/>
              <w:spacing w:line="360" w:lineRule="atLeast"/>
              <w:jc w:val="center"/>
            </w:pPr>
            <w:r>
              <w:rPr>
                <w:rFonts w:hint="eastAsia"/>
              </w:rPr>
              <w:t>备注</w:t>
            </w:r>
          </w:p>
        </w:tc>
      </w:tr>
      <w:tr>
        <w:tblPrEx>
          <w:tblCellMar>
            <w:top w:w="0" w:type="dxa"/>
            <w:left w:w="0" w:type="dxa"/>
            <w:bottom w:w="0" w:type="dxa"/>
            <w:right w:w="0" w:type="dxa"/>
          </w:tblCellMar>
        </w:tblPrEx>
        <w:trPr>
          <w:trHeight w:val="566" w:hRule="atLeast"/>
        </w:trPr>
        <w:tc>
          <w:tcPr>
            <w:tcW w:w="6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360" w:lineRule="atLeast"/>
              <w:jc w:val="center"/>
            </w:pPr>
            <w:r>
              <w:rPr>
                <w:rFonts w:hint="eastAsia" w:ascii="宋体" w:hAnsi="宋体" w:eastAsia="宋体" w:cs="宋体"/>
                <w:color w:val="000000"/>
              </w:rPr>
              <w:t>1</w:t>
            </w:r>
          </w:p>
        </w:tc>
        <w:tc>
          <w:tcPr>
            <w:tcW w:w="1866"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挤塑板</w:t>
            </w:r>
          </w:p>
        </w:tc>
        <w:tc>
          <w:tcPr>
            <w:tcW w:w="1436"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hint="default" w:ascii="宋体" w:hAnsi="宋体" w:eastAsia="宋体" w:cs="宋体"/>
                <w:color w:val="000000"/>
                <w:sz w:val="22"/>
                <w:szCs w:val="22"/>
                <w:vertAlign w:val="superscript"/>
                <w:lang w:val="en-US" w:eastAsia="zh-CN"/>
              </w:rPr>
            </w:pPr>
            <w:r>
              <w:rPr>
                <w:rFonts w:hint="eastAsia" w:ascii="宋体" w:hAnsi="宋体" w:eastAsia="宋体" w:cs="宋体"/>
                <w:color w:val="000000"/>
                <w:sz w:val="24"/>
                <w:lang w:val="en-US" w:eastAsia="zh-CN"/>
              </w:rPr>
              <w:t>B1级</w:t>
            </w:r>
          </w:p>
        </w:tc>
        <w:tc>
          <w:tcPr>
            <w:tcW w:w="72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b/>
                <w:bCs/>
                <w:color w:val="000000"/>
                <w:sz w:val="22"/>
                <w:szCs w:val="22"/>
                <w:vertAlign w:val="superscript"/>
                <w:lang w:eastAsia="zh-CN"/>
              </w:rPr>
            </w:pPr>
            <w:r>
              <w:rPr>
                <w:rFonts w:hint="eastAsia" w:ascii="宋体" w:hAnsi="宋体" w:eastAsia="宋体" w:cs="宋体"/>
                <w:color w:val="000000"/>
                <w:sz w:val="24"/>
                <w:lang w:eastAsia="zh-CN"/>
              </w:rPr>
              <w:t>立方</w:t>
            </w:r>
          </w:p>
        </w:tc>
        <w:tc>
          <w:tcPr>
            <w:tcW w:w="135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hint="default" w:ascii="宋体" w:hAnsi="宋体" w:eastAsia="宋体" w:cs="宋体"/>
                <w:color w:val="000000"/>
                <w:sz w:val="22"/>
                <w:szCs w:val="22"/>
                <w:vertAlign w:val="superscript"/>
                <w:lang w:val="en-US" w:eastAsia="zh-CN"/>
              </w:rPr>
            </w:pPr>
            <w:r>
              <w:rPr>
                <w:rFonts w:hint="eastAsia" w:ascii="宋体" w:hAnsi="宋体" w:eastAsia="宋体" w:cs="宋体"/>
                <w:color w:val="000000"/>
                <w:sz w:val="24"/>
                <w:lang w:val="en-US" w:eastAsia="zh-CN"/>
              </w:rPr>
              <w:t>86</w:t>
            </w:r>
          </w:p>
        </w:tc>
        <w:tc>
          <w:tcPr>
            <w:tcW w:w="1417" w:type="dxa"/>
            <w:tcBorders>
              <w:top w:val="nil"/>
              <w:left w:val="nil"/>
              <w:bottom w:val="single" w:color="auto" w:sz="4" w:space="0"/>
              <w:right w:val="single" w:color="auto" w:sz="4" w:space="0"/>
            </w:tcBorders>
            <w:shd w:val="clear" w:color="auto" w:fill="auto"/>
            <w:tcMar>
              <w:left w:w="105" w:type="dxa"/>
              <w:right w:w="105" w:type="dxa"/>
            </w:tcMar>
          </w:tcPr>
          <w:p>
            <w:pPr>
              <w:pStyle w:val="4"/>
              <w:widowControl/>
              <w:spacing w:beforeAutospacing="0" w:afterAutospacing="0" w:line="288" w:lineRule="atLeast"/>
            </w:pPr>
          </w:p>
        </w:tc>
        <w:tc>
          <w:tcPr>
            <w:tcW w:w="1404" w:type="dxa"/>
            <w:tcBorders>
              <w:top w:val="nil"/>
              <w:left w:val="single" w:color="auto" w:sz="4" w:space="0"/>
              <w:bottom w:val="single" w:color="auto" w:sz="4" w:space="0"/>
              <w:right w:val="single" w:color="auto" w:sz="4" w:space="0"/>
            </w:tcBorders>
            <w:shd w:val="clear" w:color="auto" w:fill="auto"/>
          </w:tcPr>
          <w:p>
            <w:pPr>
              <w:pStyle w:val="4"/>
              <w:widowControl/>
              <w:spacing w:beforeAutospacing="0" w:afterAutospacing="0" w:line="288" w:lineRule="atLeast"/>
            </w:pPr>
          </w:p>
        </w:tc>
        <w:tc>
          <w:tcPr>
            <w:tcW w:w="1020" w:type="dxa"/>
            <w:tcBorders>
              <w:top w:val="nil"/>
              <w:left w:val="single" w:color="auto" w:sz="4" w:space="0"/>
              <w:bottom w:val="single" w:color="auto" w:sz="4" w:space="0"/>
              <w:right w:val="single" w:color="auto" w:sz="4" w:space="0"/>
            </w:tcBorders>
            <w:shd w:val="clear" w:color="auto" w:fill="auto"/>
          </w:tcPr>
          <w:p>
            <w:pPr>
              <w:pStyle w:val="4"/>
              <w:widowControl/>
              <w:spacing w:beforeAutospacing="0" w:afterAutospacing="0" w:line="288" w:lineRule="atLeast"/>
            </w:pPr>
          </w:p>
        </w:tc>
        <w:tc>
          <w:tcPr>
            <w:tcW w:w="836" w:type="dxa"/>
            <w:tcBorders>
              <w:top w:val="nil"/>
              <w:left w:val="single" w:color="auto" w:sz="4" w:space="0"/>
              <w:bottom w:val="single" w:color="auto" w:sz="4" w:space="0"/>
              <w:right w:val="single" w:color="auto" w:sz="6" w:space="0"/>
            </w:tcBorders>
            <w:shd w:val="clear" w:color="auto" w:fill="auto"/>
          </w:tcPr>
          <w:p>
            <w:pPr>
              <w:pStyle w:val="4"/>
              <w:widowControl/>
              <w:spacing w:beforeAutospacing="0" w:afterAutospacing="0" w:line="288" w:lineRule="atLeast"/>
            </w:pPr>
          </w:p>
        </w:tc>
      </w:tr>
      <w:tr>
        <w:tblPrEx>
          <w:tblCellMar>
            <w:top w:w="0" w:type="dxa"/>
            <w:left w:w="0" w:type="dxa"/>
            <w:bottom w:w="0" w:type="dxa"/>
            <w:right w:w="0" w:type="dxa"/>
          </w:tblCellMar>
        </w:tblPrEx>
        <w:trPr>
          <w:trHeight w:val="638" w:hRule="atLeast"/>
        </w:trPr>
        <w:tc>
          <w:tcPr>
            <w:tcW w:w="6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35" w:lineRule="atLeast"/>
              <w:jc w:val="center"/>
            </w:pPr>
            <w:r>
              <w:rPr>
                <w:rFonts w:hint="eastAsia" w:ascii="宋体" w:hAnsi="宋体" w:eastAsia="宋体" w:cs="宋体"/>
                <w:color w:val="000000"/>
              </w:rPr>
              <w:t>2</w:t>
            </w:r>
          </w:p>
        </w:tc>
        <w:tc>
          <w:tcPr>
            <w:tcW w:w="1866"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挤塑板</w:t>
            </w:r>
          </w:p>
        </w:tc>
        <w:tc>
          <w:tcPr>
            <w:tcW w:w="1436"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hint="default" w:ascii="宋体" w:hAnsi="宋体" w:eastAsia="宋体" w:cs="宋体"/>
                <w:color w:val="000000"/>
                <w:sz w:val="22"/>
                <w:szCs w:val="22"/>
                <w:vertAlign w:val="superscript"/>
                <w:lang w:val="en-US" w:eastAsia="zh-CN"/>
              </w:rPr>
            </w:pPr>
            <w:r>
              <w:rPr>
                <w:rFonts w:hint="eastAsia" w:ascii="宋体" w:hAnsi="宋体" w:eastAsia="宋体" w:cs="宋体"/>
                <w:color w:val="000000"/>
                <w:sz w:val="24"/>
                <w:lang w:val="en-US" w:eastAsia="zh-CN"/>
              </w:rPr>
              <w:t>B2级</w:t>
            </w:r>
          </w:p>
        </w:tc>
        <w:tc>
          <w:tcPr>
            <w:tcW w:w="72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color w:val="000000"/>
                <w:sz w:val="22"/>
                <w:szCs w:val="22"/>
                <w:vertAlign w:val="superscript"/>
                <w:lang w:eastAsia="zh-CN"/>
              </w:rPr>
            </w:pPr>
            <w:r>
              <w:rPr>
                <w:rFonts w:hint="eastAsia" w:ascii="宋体" w:hAnsi="宋体" w:eastAsia="宋体" w:cs="宋体"/>
                <w:color w:val="000000"/>
                <w:sz w:val="24"/>
                <w:lang w:eastAsia="zh-CN"/>
              </w:rPr>
              <w:t>立方</w:t>
            </w:r>
          </w:p>
        </w:tc>
        <w:tc>
          <w:tcPr>
            <w:tcW w:w="135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hint="default" w:ascii="宋体" w:hAnsi="宋体" w:eastAsia="宋体" w:cs="宋体"/>
                <w:color w:val="000000"/>
                <w:sz w:val="22"/>
                <w:szCs w:val="22"/>
                <w:vertAlign w:val="superscript"/>
                <w:lang w:val="en-US"/>
              </w:rPr>
            </w:pPr>
            <w:r>
              <w:rPr>
                <w:rFonts w:hint="eastAsia" w:ascii="宋体" w:hAnsi="宋体" w:eastAsia="宋体" w:cs="宋体"/>
                <w:color w:val="000000"/>
                <w:sz w:val="24"/>
                <w:lang w:val="en-US" w:eastAsia="zh-CN"/>
              </w:rPr>
              <w:t>1586</w:t>
            </w:r>
          </w:p>
        </w:tc>
        <w:tc>
          <w:tcPr>
            <w:tcW w:w="1417" w:type="dxa"/>
            <w:tcBorders>
              <w:top w:val="single" w:color="auto" w:sz="4" w:space="0"/>
              <w:left w:val="nil"/>
              <w:bottom w:val="single" w:color="auto" w:sz="4" w:space="0"/>
              <w:right w:val="single" w:color="auto" w:sz="4" w:space="0"/>
            </w:tcBorders>
            <w:shd w:val="clear" w:color="auto" w:fill="auto"/>
            <w:tcMar>
              <w:left w:w="105" w:type="dxa"/>
              <w:right w:w="105" w:type="dxa"/>
            </w:tcMar>
          </w:tcPr>
          <w:p>
            <w:pPr>
              <w:rPr>
                <w:rFonts w:ascii="sans-serif" w:hAnsi="sans-serif" w:eastAsia="sans-serif" w:cs="sans-serif"/>
                <w:color w:val="00000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1020"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836" w:type="dxa"/>
            <w:tcBorders>
              <w:top w:val="single" w:color="auto" w:sz="4" w:space="0"/>
              <w:left w:val="single" w:color="auto" w:sz="4" w:space="0"/>
              <w:bottom w:val="single" w:color="auto" w:sz="4" w:space="0"/>
              <w:right w:val="single" w:color="auto" w:sz="6" w:space="0"/>
            </w:tcBorders>
            <w:shd w:val="clear" w:color="auto" w:fill="auto"/>
          </w:tcPr>
          <w:p>
            <w:pPr>
              <w:rPr>
                <w:rFonts w:ascii="sans-serif" w:hAnsi="sans-serif" w:eastAsia="sans-serif" w:cs="sans-serif"/>
                <w:color w:val="000000"/>
                <w:sz w:val="24"/>
              </w:rPr>
            </w:pPr>
          </w:p>
        </w:tc>
      </w:tr>
      <w:tr>
        <w:tblPrEx>
          <w:tblCellMar>
            <w:top w:w="0" w:type="dxa"/>
            <w:left w:w="0" w:type="dxa"/>
            <w:bottom w:w="0" w:type="dxa"/>
            <w:right w:w="0" w:type="dxa"/>
          </w:tblCellMar>
        </w:tblPrEx>
        <w:trPr>
          <w:trHeight w:val="638" w:hRule="atLeast"/>
        </w:trPr>
        <w:tc>
          <w:tcPr>
            <w:tcW w:w="6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35" w:lineRule="atLeast"/>
              <w:jc w:val="center"/>
            </w:pPr>
            <w:r>
              <w:rPr>
                <w:rFonts w:hint="eastAsia" w:ascii="宋体" w:hAnsi="宋体" w:eastAsia="宋体" w:cs="宋体"/>
                <w:color w:val="000000"/>
              </w:rPr>
              <w:t>3</w:t>
            </w:r>
          </w:p>
        </w:tc>
        <w:tc>
          <w:tcPr>
            <w:tcW w:w="1866"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4"/>
                <w:lang w:eastAsia="zh-CN"/>
              </w:rPr>
              <w:t>挤塑板</w:t>
            </w:r>
          </w:p>
        </w:tc>
        <w:tc>
          <w:tcPr>
            <w:tcW w:w="1436"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color w:val="000000"/>
                <w:sz w:val="22"/>
                <w:szCs w:val="22"/>
                <w:vertAlign w:val="superscript"/>
                <w:lang w:eastAsia="zh-CN"/>
              </w:rPr>
            </w:pPr>
            <w:r>
              <w:rPr>
                <w:rFonts w:hint="eastAsia" w:ascii="宋体" w:hAnsi="宋体" w:eastAsia="宋体" w:cs="宋体"/>
                <w:color w:val="000000"/>
                <w:sz w:val="24"/>
                <w:lang w:val="en-US" w:eastAsia="zh-CN"/>
              </w:rPr>
              <w:t>普通级</w:t>
            </w:r>
          </w:p>
        </w:tc>
        <w:tc>
          <w:tcPr>
            <w:tcW w:w="72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vertAlign w:val="superscript"/>
              </w:rPr>
            </w:pPr>
            <w:r>
              <w:rPr>
                <w:rFonts w:hint="eastAsia" w:ascii="宋体" w:hAnsi="宋体" w:eastAsia="宋体" w:cs="宋体"/>
                <w:color w:val="000000"/>
                <w:sz w:val="24"/>
                <w:lang w:eastAsia="zh-CN"/>
              </w:rPr>
              <w:t>立方</w:t>
            </w:r>
          </w:p>
        </w:tc>
        <w:tc>
          <w:tcPr>
            <w:tcW w:w="135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hint="default" w:ascii="宋体" w:hAnsi="宋体" w:eastAsia="宋体" w:cs="宋体"/>
                <w:color w:val="000000"/>
                <w:sz w:val="22"/>
                <w:szCs w:val="22"/>
                <w:vertAlign w:val="superscript"/>
                <w:lang w:val="en-US"/>
              </w:rPr>
            </w:pPr>
            <w:r>
              <w:rPr>
                <w:rFonts w:hint="eastAsia" w:ascii="宋体" w:hAnsi="宋体" w:eastAsia="宋体" w:cs="宋体"/>
                <w:color w:val="000000"/>
                <w:sz w:val="24"/>
                <w:lang w:val="en-US" w:eastAsia="zh-CN"/>
              </w:rPr>
              <w:t>532</w:t>
            </w:r>
          </w:p>
        </w:tc>
        <w:tc>
          <w:tcPr>
            <w:tcW w:w="1417" w:type="dxa"/>
            <w:tcBorders>
              <w:top w:val="single" w:color="auto" w:sz="4" w:space="0"/>
              <w:left w:val="nil"/>
              <w:bottom w:val="single" w:color="auto" w:sz="4" w:space="0"/>
              <w:right w:val="single" w:color="auto" w:sz="4" w:space="0"/>
            </w:tcBorders>
            <w:shd w:val="clear" w:color="auto" w:fill="auto"/>
            <w:tcMar>
              <w:left w:w="105" w:type="dxa"/>
              <w:right w:w="105" w:type="dxa"/>
            </w:tcMar>
          </w:tcPr>
          <w:p>
            <w:pPr>
              <w:rPr>
                <w:rFonts w:ascii="sans-serif" w:hAnsi="sans-serif" w:eastAsia="sans-serif" w:cs="sans-serif"/>
                <w:color w:val="00000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1020"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836" w:type="dxa"/>
            <w:tcBorders>
              <w:top w:val="single" w:color="auto" w:sz="4" w:space="0"/>
              <w:left w:val="single" w:color="auto" w:sz="4" w:space="0"/>
              <w:bottom w:val="single" w:color="auto" w:sz="4" w:space="0"/>
              <w:right w:val="single" w:color="auto" w:sz="6" w:space="0"/>
            </w:tcBorders>
            <w:shd w:val="clear" w:color="auto" w:fill="auto"/>
          </w:tcPr>
          <w:p>
            <w:pPr>
              <w:rPr>
                <w:rFonts w:ascii="sans-serif" w:hAnsi="sans-serif" w:eastAsia="sans-serif" w:cs="sans-serif"/>
                <w:color w:val="000000"/>
                <w:sz w:val="24"/>
              </w:rPr>
            </w:pPr>
          </w:p>
        </w:tc>
      </w:tr>
      <w:tr>
        <w:tblPrEx>
          <w:tblCellMar>
            <w:top w:w="0" w:type="dxa"/>
            <w:left w:w="0" w:type="dxa"/>
            <w:bottom w:w="0" w:type="dxa"/>
            <w:right w:w="0" w:type="dxa"/>
          </w:tblCellMar>
        </w:tblPrEx>
        <w:trPr>
          <w:trHeight w:val="638" w:hRule="atLeast"/>
        </w:trPr>
        <w:tc>
          <w:tcPr>
            <w:tcW w:w="6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35" w:lineRule="atLeast"/>
              <w:jc w:val="center"/>
            </w:pPr>
          </w:p>
        </w:tc>
        <w:tc>
          <w:tcPr>
            <w:tcW w:w="1866"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宋体" w:hAnsi="宋体" w:eastAsia="宋体" w:cs="宋体"/>
                <w:color w:val="000000"/>
                <w:sz w:val="22"/>
                <w:szCs w:val="22"/>
                <w:lang w:eastAsia="zh-CN"/>
              </w:rPr>
            </w:pPr>
          </w:p>
        </w:tc>
        <w:tc>
          <w:tcPr>
            <w:tcW w:w="1436"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vertAlign w:val="superscript"/>
              </w:rPr>
            </w:pPr>
          </w:p>
        </w:tc>
        <w:tc>
          <w:tcPr>
            <w:tcW w:w="72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vertAlign w:val="superscript"/>
              </w:rPr>
            </w:pPr>
          </w:p>
        </w:tc>
        <w:tc>
          <w:tcPr>
            <w:tcW w:w="135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hint="default" w:ascii="宋体" w:hAnsi="宋体" w:eastAsia="宋体" w:cs="宋体"/>
                <w:color w:val="000000"/>
                <w:sz w:val="22"/>
                <w:szCs w:val="22"/>
                <w:vertAlign w:val="superscript"/>
                <w:lang w:val="en-US"/>
              </w:rPr>
            </w:pPr>
          </w:p>
        </w:tc>
        <w:tc>
          <w:tcPr>
            <w:tcW w:w="1417" w:type="dxa"/>
            <w:tcBorders>
              <w:top w:val="single" w:color="auto" w:sz="4" w:space="0"/>
              <w:left w:val="nil"/>
              <w:bottom w:val="single" w:color="auto" w:sz="4" w:space="0"/>
              <w:right w:val="single" w:color="auto" w:sz="4" w:space="0"/>
            </w:tcBorders>
            <w:shd w:val="clear" w:color="auto" w:fill="auto"/>
            <w:tcMar>
              <w:left w:w="105" w:type="dxa"/>
              <w:right w:w="105" w:type="dxa"/>
            </w:tcMar>
          </w:tcPr>
          <w:p>
            <w:pPr>
              <w:rPr>
                <w:rFonts w:ascii="sans-serif" w:hAnsi="sans-serif" w:eastAsia="sans-serif" w:cs="sans-serif"/>
                <w:color w:val="00000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1020"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836" w:type="dxa"/>
            <w:tcBorders>
              <w:top w:val="single" w:color="auto" w:sz="4" w:space="0"/>
              <w:left w:val="single" w:color="auto" w:sz="4" w:space="0"/>
              <w:bottom w:val="single" w:color="auto" w:sz="4" w:space="0"/>
              <w:right w:val="single" w:color="auto" w:sz="6" w:space="0"/>
            </w:tcBorders>
            <w:shd w:val="clear" w:color="auto" w:fill="auto"/>
          </w:tcPr>
          <w:p>
            <w:pPr>
              <w:rPr>
                <w:rFonts w:ascii="sans-serif" w:hAnsi="sans-serif" w:eastAsia="sans-serif" w:cs="sans-serif"/>
                <w:color w:val="000000"/>
                <w:sz w:val="24"/>
              </w:rPr>
            </w:pPr>
          </w:p>
        </w:tc>
      </w:tr>
      <w:tr>
        <w:tblPrEx>
          <w:tblCellMar>
            <w:top w:w="0" w:type="dxa"/>
            <w:left w:w="0" w:type="dxa"/>
            <w:bottom w:w="0" w:type="dxa"/>
            <w:right w:w="0" w:type="dxa"/>
          </w:tblCellMar>
        </w:tblPrEx>
        <w:trPr>
          <w:trHeight w:val="506" w:hRule="atLeast"/>
        </w:trPr>
        <w:tc>
          <w:tcPr>
            <w:tcW w:w="6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widowControl/>
              <w:spacing w:beforeAutospacing="0" w:afterAutospacing="0" w:line="435" w:lineRule="atLeast"/>
              <w:jc w:val="center"/>
            </w:pPr>
          </w:p>
        </w:tc>
        <w:tc>
          <w:tcPr>
            <w:tcW w:w="1866"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rPr>
            </w:pPr>
          </w:p>
        </w:tc>
        <w:tc>
          <w:tcPr>
            <w:tcW w:w="1436"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vertAlign w:val="superscript"/>
              </w:rPr>
            </w:pPr>
          </w:p>
        </w:tc>
        <w:tc>
          <w:tcPr>
            <w:tcW w:w="729"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vertAlign w:val="superscript"/>
              </w:rPr>
            </w:pPr>
          </w:p>
        </w:tc>
        <w:tc>
          <w:tcPr>
            <w:tcW w:w="1359"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vertAlign w:val="superscript"/>
              </w:rPr>
            </w:pPr>
          </w:p>
        </w:tc>
        <w:tc>
          <w:tcPr>
            <w:tcW w:w="1417" w:type="dxa"/>
            <w:tcBorders>
              <w:top w:val="single" w:color="auto" w:sz="4" w:space="0"/>
              <w:left w:val="nil"/>
              <w:bottom w:val="single" w:color="auto" w:sz="4" w:space="0"/>
              <w:right w:val="single" w:color="auto" w:sz="4" w:space="0"/>
            </w:tcBorders>
            <w:shd w:val="clear" w:color="auto" w:fill="auto"/>
            <w:tcMar>
              <w:left w:w="105" w:type="dxa"/>
              <w:right w:w="105" w:type="dxa"/>
            </w:tcMar>
          </w:tcPr>
          <w:p>
            <w:pPr>
              <w:rPr>
                <w:rFonts w:ascii="sans-serif" w:hAnsi="sans-serif" w:eastAsia="sans-serif" w:cs="sans-serif"/>
                <w:color w:val="00000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1020"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836" w:type="dxa"/>
            <w:tcBorders>
              <w:top w:val="single" w:color="auto" w:sz="4" w:space="0"/>
              <w:left w:val="single" w:color="auto" w:sz="4" w:space="0"/>
              <w:bottom w:val="single" w:color="auto" w:sz="4" w:space="0"/>
              <w:right w:val="single" w:color="auto" w:sz="6" w:space="0"/>
            </w:tcBorders>
            <w:shd w:val="clear" w:color="auto" w:fill="auto"/>
          </w:tcPr>
          <w:p>
            <w:pPr>
              <w:rPr>
                <w:rFonts w:ascii="sans-serif" w:hAnsi="sans-serif" w:eastAsia="sans-serif" w:cs="sans-serif"/>
                <w:color w:val="000000"/>
                <w:sz w:val="24"/>
              </w:rPr>
            </w:pPr>
          </w:p>
        </w:tc>
      </w:tr>
      <w:tr>
        <w:tblPrEx>
          <w:tblCellMar>
            <w:top w:w="0" w:type="dxa"/>
            <w:left w:w="0" w:type="dxa"/>
            <w:bottom w:w="0" w:type="dxa"/>
            <w:right w:w="0" w:type="dxa"/>
          </w:tblCellMar>
        </w:tblPrEx>
        <w:trPr>
          <w:trHeight w:val="511" w:hRule="atLeast"/>
        </w:trPr>
        <w:tc>
          <w:tcPr>
            <w:tcW w:w="667"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4"/>
              <w:widowControl/>
              <w:spacing w:beforeAutospacing="0" w:afterAutospacing="0" w:line="435" w:lineRule="atLeast"/>
              <w:jc w:val="center"/>
            </w:pPr>
          </w:p>
        </w:tc>
        <w:tc>
          <w:tcPr>
            <w:tcW w:w="1866"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4"/>
              </w:rPr>
            </w:pPr>
          </w:p>
        </w:tc>
        <w:tc>
          <w:tcPr>
            <w:tcW w:w="1436"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vertAlign w:val="superscript"/>
              </w:rPr>
            </w:pPr>
          </w:p>
        </w:tc>
        <w:tc>
          <w:tcPr>
            <w:tcW w:w="72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vertAlign w:val="superscript"/>
              </w:rPr>
            </w:pPr>
          </w:p>
        </w:tc>
        <w:tc>
          <w:tcPr>
            <w:tcW w:w="1359" w:type="dxa"/>
            <w:tcBorders>
              <w:top w:val="nil"/>
              <w:left w:val="nil"/>
              <w:bottom w:val="single" w:color="auto" w:sz="4" w:space="0"/>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2"/>
                <w:szCs w:val="22"/>
                <w:vertAlign w:val="superscript"/>
              </w:rPr>
            </w:pPr>
          </w:p>
        </w:tc>
        <w:tc>
          <w:tcPr>
            <w:tcW w:w="1417" w:type="dxa"/>
            <w:tcBorders>
              <w:top w:val="single" w:color="auto" w:sz="4" w:space="0"/>
              <w:left w:val="nil"/>
              <w:bottom w:val="single" w:color="auto" w:sz="4" w:space="0"/>
              <w:right w:val="single" w:color="auto" w:sz="4" w:space="0"/>
            </w:tcBorders>
            <w:shd w:val="clear" w:color="auto" w:fill="auto"/>
            <w:tcMar>
              <w:left w:w="105" w:type="dxa"/>
              <w:right w:w="105" w:type="dxa"/>
            </w:tcMar>
          </w:tcPr>
          <w:p>
            <w:pPr>
              <w:rPr>
                <w:rFonts w:ascii="sans-serif" w:hAnsi="sans-serif" w:eastAsia="sans-serif" w:cs="sans-serif"/>
                <w:color w:val="00000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1020"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836" w:type="dxa"/>
            <w:tcBorders>
              <w:top w:val="single" w:color="auto" w:sz="4" w:space="0"/>
              <w:left w:val="single" w:color="auto" w:sz="4" w:space="0"/>
              <w:bottom w:val="single" w:color="auto" w:sz="4" w:space="0"/>
              <w:right w:val="single" w:color="auto" w:sz="6" w:space="0"/>
            </w:tcBorders>
            <w:shd w:val="clear" w:color="auto" w:fill="auto"/>
          </w:tcPr>
          <w:p>
            <w:pPr>
              <w:rPr>
                <w:rFonts w:ascii="sans-serif" w:hAnsi="sans-serif" w:eastAsia="sans-serif" w:cs="sans-serif"/>
                <w:color w:val="000000"/>
                <w:sz w:val="24"/>
              </w:rPr>
            </w:pPr>
          </w:p>
        </w:tc>
      </w:tr>
      <w:tr>
        <w:tblPrEx>
          <w:tblCellMar>
            <w:top w:w="0" w:type="dxa"/>
            <w:left w:w="0" w:type="dxa"/>
            <w:bottom w:w="0" w:type="dxa"/>
            <w:right w:w="0" w:type="dxa"/>
          </w:tblCellMar>
        </w:tblPrEx>
        <w:trPr>
          <w:trHeight w:val="638" w:hRule="atLeast"/>
        </w:trPr>
        <w:tc>
          <w:tcPr>
            <w:tcW w:w="667" w:type="dxa"/>
            <w:tcBorders>
              <w:top w:val="single" w:color="auto" w:sz="4" w:space="0"/>
              <w:left w:val="single" w:color="auto" w:sz="4" w:space="0"/>
              <w:bottom w:val="nil"/>
              <w:right w:val="single" w:color="auto" w:sz="6" w:space="0"/>
            </w:tcBorders>
            <w:shd w:val="clear" w:color="auto" w:fill="auto"/>
            <w:tcMar>
              <w:left w:w="105" w:type="dxa"/>
              <w:right w:w="105" w:type="dxa"/>
            </w:tcMar>
            <w:vAlign w:val="center"/>
          </w:tcPr>
          <w:p>
            <w:pPr>
              <w:pStyle w:val="4"/>
              <w:widowControl/>
              <w:spacing w:beforeAutospacing="0" w:afterAutospacing="0" w:line="435" w:lineRule="atLeast"/>
              <w:jc w:val="center"/>
            </w:pPr>
          </w:p>
        </w:tc>
        <w:tc>
          <w:tcPr>
            <w:tcW w:w="1866" w:type="dxa"/>
            <w:tcBorders>
              <w:top w:val="single" w:color="auto" w:sz="4" w:space="0"/>
              <w:left w:val="nil"/>
              <w:bottom w:val="nil"/>
              <w:right w:val="single" w:color="auto" w:sz="6" w:space="0"/>
            </w:tcBorders>
            <w:shd w:val="clear" w:color="auto" w:fill="auto"/>
            <w:tcMar>
              <w:left w:w="105" w:type="dxa"/>
              <w:right w:w="105" w:type="dxa"/>
            </w:tcMar>
            <w:vAlign w:val="center"/>
          </w:tcPr>
          <w:p>
            <w:pPr>
              <w:jc w:val="center"/>
              <w:rPr>
                <w:rFonts w:ascii="宋体" w:hAnsi="宋体" w:eastAsia="宋体" w:cs="宋体"/>
                <w:color w:val="000000"/>
                <w:sz w:val="24"/>
              </w:rPr>
            </w:pPr>
          </w:p>
        </w:tc>
        <w:tc>
          <w:tcPr>
            <w:tcW w:w="1436"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rPr>
                <w:rFonts w:ascii="宋体" w:hAnsi="宋体" w:eastAsia="宋体" w:cs="宋体"/>
                <w:color w:val="000000"/>
                <w:sz w:val="22"/>
                <w:szCs w:val="22"/>
              </w:rPr>
            </w:pPr>
          </w:p>
        </w:tc>
        <w:tc>
          <w:tcPr>
            <w:tcW w:w="729"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rPr>
                <w:rFonts w:ascii="宋体" w:hAnsi="宋体" w:eastAsia="宋体" w:cs="宋体"/>
                <w:color w:val="000000"/>
                <w:sz w:val="22"/>
                <w:szCs w:val="22"/>
              </w:rPr>
            </w:pPr>
          </w:p>
        </w:tc>
        <w:tc>
          <w:tcPr>
            <w:tcW w:w="1359"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rPr>
                <w:rFonts w:ascii="宋体" w:hAnsi="宋体" w:eastAsia="宋体" w:cs="宋体"/>
                <w:color w:val="000000"/>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tcPr>
          <w:p>
            <w:pPr>
              <w:rPr>
                <w:rFonts w:ascii="sans-serif" w:hAnsi="sans-serif" w:eastAsia="sans-serif" w:cs="sans-serif"/>
                <w:color w:val="00000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1020" w:type="dxa"/>
            <w:tcBorders>
              <w:top w:val="single" w:color="auto" w:sz="4" w:space="0"/>
              <w:left w:val="single" w:color="auto" w:sz="4" w:space="0"/>
              <w:bottom w:val="single" w:color="auto" w:sz="4" w:space="0"/>
              <w:right w:val="single" w:color="auto" w:sz="4" w:space="0"/>
            </w:tcBorders>
            <w:shd w:val="clear" w:color="auto" w:fill="auto"/>
          </w:tcPr>
          <w:p>
            <w:pPr>
              <w:rPr>
                <w:rFonts w:ascii="sans-serif" w:hAnsi="sans-serif" w:eastAsia="sans-serif" w:cs="sans-serif"/>
                <w:color w:val="000000"/>
                <w:sz w:val="24"/>
              </w:rPr>
            </w:pPr>
          </w:p>
        </w:tc>
        <w:tc>
          <w:tcPr>
            <w:tcW w:w="836" w:type="dxa"/>
            <w:tcBorders>
              <w:top w:val="single" w:color="auto" w:sz="4" w:space="0"/>
              <w:left w:val="single" w:color="auto" w:sz="4" w:space="0"/>
              <w:bottom w:val="single" w:color="auto" w:sz="4" w:space="0"/>
              <w:right w:val="single" w:color="auto" w:sz="6" w:space="0"/>
            </w:tcBorders>
            <w:shd w:val="clear" w:color="auto" w:fill="auto"/>
          </w:tcPr>
          <w:p>
            <w:pPr>
              <w:rPr>
                <w:rFonts w:ascii="sans-serif" w:hAnsi="sans-serif" w:eastAsia="sans-serif" w:cs="sans-serif"/>
                <w:color w:val="000000"/>
                <w:sz w:val="24"/>
              </w:rPr>
            </w:pPr>
          </w:p>
        </w:tc>
      </w:tr>
    </w:tbl>
    <w:p>
      <w:pPr>
        <w:pStyle w:val="4"/>
        <w:widowControl/>
        <w:spacing w:before="75" w:beforeAutospacing="0" w:after="75" w:afterAutospacing="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39C7494"/>
    <w:rsid w:val="002769BE"/>
    <w:rsid w:val="002A4D4F"/>
    <w:rsid w:val="00326F68"/>
    <w:rsid w:val="004F47EE"/>
    <w:rsid w:val="005D3B96"/>
    <w:rsid w:val="00600CE7"/>
    <w:rsid w:val="00614251"/>
    <w:rsid w:val="0062038A"/>
    <w:rsid w:val="00703951"/>
    <w:rsid w:val="0071371F"/>
    <w:rsid w:val="00733D70"/>
    <w:rsid w:val="00811396"/>
    <w:rsid w:val="00903AA7"/>
    <w:rsid w:val="009D3C9A"/>
    <w:rsid w:val="00A1482C"/>
    <w:rsid w:val="00C71DDA"/>
    <w:rsid w:val="00CF3087"/>
    <w:rsid w:val="00D428E7"/>
    <w:rsid w:val="00E5050D"/>
    <w:rsid w:val="00F57AA3"/>
    <w:rsid w:val="00F737C4"/>
    <w:rsid w:val="024550B0"/>
    <w:rsid w:val="052020C4"/>
    <w:rsid w:val="08094366"/>
    <w:rsid w:val="098B1F2A"/>
    <w:rsid w:val="0B9D680D"/>
    <w:rsid w:val="0DF667B7"/>
    <w:rsid w:val="105D2598"/>
    <w:rsid w:val="139C7494"/>
    <w:rsid w:val="18B74806"/>
    <w:rsid w:val="27941366"/>
    <w:rsid w:val="32DD3A1C"/>
    <w:rsid w:val="330869BF"/>
    <w:rsid w:val="35AB7924"/>
    <w:rsid w:val="392717D8"/>
    <w:rsid w:val="409A5F56"/>
    <w:rsid w:val="40E67AB7"/>
    <w:rsid w:val="4517191F"/>
    <w:rsid w:val="5CE86A6E"/>
    <w:rsid w:val="5F813ABE"/>
    <w:rsid w:val="616012E2"/>
    <w:rsid w:val="641F589F"/>
    <w:rsid w:val="66842223"/>
    <w:rsid w:val="6723588E"/>
    <w:rsid w:val="744B51F8"/>
    <w:rsid w:val="7A85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1</Pages>
  <Words>178</Words>
  <Characters>1015</Characters>
  <Lines>8</Lines>
  <Paragraphs>2</Paragraphs>
  <TotalTime>4</TotalTime>
  <ScaleCrop>false</ScaleCrop>
  <LinksUpToDate>false</LinksUpToDate>
  <CharactersWithSpaces>1191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2017-03-10T01:47:00Z</dcterms:created>
  <dc:creator>Administrator</dc:creator>
  <cp:lastModifiedBy>黄寿生-云筑</cp:lastModifiedBy>
  <dcterms:modified xsi:type="dcterms:W3CDTF">2020-06-27T02:13:45Z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