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eastAsia="zh-CN"/>
        </w:rPr>
        <w:t>动物园公交枢纽站装修改造工程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  <w:lang w:val="en-US" w:eastAsia="zh-CN"/>
        </w:rPr>
        <w:t>停车划线</w:t>
      </w: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</w:rPr>
        <w:t>工程施工招标公告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5"/>
        <w:gridCol w:w="6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招标单位</w:t>
            </w:r>
          </w:p>
        </w:tc>
        <w:tc>
          <w:tcPr>
            <w:tcW w:w="6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中建二局第三建筑工程有限公司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招标工程名称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动物园公交枢纽站装修改造工程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工程地点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北京市西城区西外大街136号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招标范围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本工程招标范围为动物园项目停车划线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工程规模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详见招标文件中的《工程量清单》。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承包方式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清单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综合单价。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投标报价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招标原则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1 在国家法律、法则规定的范围内实行议标招标；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 按照国家《合同法》有关条款：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2.1 在质量、服务同等的条件下，优先合理低价中标；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2.2 在2.1条条件下又承诺垫资者，优先中标。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3质量要求：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3.1 严格执行国家现行有效质量标准，不合格产品禁止使用；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3.2 必须提供材质证明等质量文件；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3.3 档次要求：符合本工程设计要求，满足工程使用条件。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报名截止时间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投标人资格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投标人必须具备年检合格的营业执照、税务登记证、组织机构代码、企业资质、安全生产许可证。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投标费用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投标单位自身承担其投标文件准备与递交所涉及的所有费用。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开标事宜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本招标工程于20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  月  日  时在中建集采交易平台（http://jc.cscec.com/buyerindex.do）及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北京市动物园公交枢纽站装修改造工程开标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各投标人在递交投标文件的同时，需提供本企业有效的资质证书、营业执照、安全生产许可证、税务登记证的副本原件供招标人审核，未能提供上述证件的，视作废标处理。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其他说明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招标人联系方式：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15811116707 高嘉岐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特别提示:严禁围标、串标行为，有关联的企业，只允许一家报名参加本次招、投标，两家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含两家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)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以上同时报名参加本次招、投标的，视为涉嫌围标，公司将对涉事企业分别做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6--12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个月禁止投标的处罚。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7964"/>
    <w:rsid w:val="040139E1"/>
    <w:rsid w:val="123F3B54"/>
    <w:rsid w:val="1B967964"/>
    <w:rsid w:val="2011317B"/>
    <w:rsid w:val="21BE5B46"/>
    <w:rsid w:val="222531BB"/>
    <w:rsid w:val="24961B3D"/>
    <w:rsid w:val="293842EE"/>
    <w:rsid w:val="2BC80A1A"/>
    <w:rsid w:val="35021B18"/>
    <w:rsid w:val="4CB55F2A"/>
    <w:rsid w:val="503550D2"/>
    <w:rsid w:val="6B0F4504"/>
    <w:rsid w:val="6BF73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2019-05-28T03:31:00Z</dcterms:created>
  <dc:creator>qi。</dc:creator>
  <cp:lastModifiedBy>qi。</cp:lastModifiedBy>
  <dcterms:modified xsi:type="dcterms:W3CDTF">2020-09-28T00:44:20Z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