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宋体" w:hAnsi="宋体" w:cs="宋体"/>
          <w:caps/>
        </w:rPr>
      </w:pPr>
      <w:r>
        <w:rPr>
          <w:rFonts w:hint="eastAsia" w:ascii="宋体" w:hAnsi="宋体" w:cs="宋体"/>
          <w:caps/>
          <w:sz w:val="28"/>
          <w:szCs w:val="28"/>
        </w:rPr>
        <w:t xml:space="preserve">                                        合同编号： </w:t>
      </w:r>
    </w:p>
    <w:p>
      <w:pPr>
        <w:ind w:left="-141" w:leftChars="-67" w:firstLine="140" w:firstLineChars="67"/>
        <w:rPr>
          <w:rFonts w:ascii="Calibri" w:hAnsi="Calibri"/>
          <w:szCs w:val="22"/>
        </w:rPr>
      </w:pPr>
    </w:p>
    <w:p>
      <w:pPr>
        <w:ind w:left="-141" w:leftChars="-67" w:firstLine="140" w:firstLineChars="67"/>
        <w:rPr>
          <w:rFonts w:ascii="宋体" w:hAnsi="宋体" w:cs="宋体"/>
        </w:rPr>
      </w:pPr>
      <w:r>
        <w:rPr>
          <w:rFonts w:ascii="Calibri" w:hAnsi="Calibri"/>
          <w:szCs w:val="22"/>
        </w:rPr>
        <w:pict>
          <v:shape id="_x0000_i1025" o:spt="75" type="#_x0000_t75" style="height:34pt;width:275pt;" filled="f" o:preferrelative="t" stroked="f" coordsize="21600,21600">
            <v:path/>
            <v:fill on="f" focussize="0,0"/>
            <v:stroke on="f" joinstyle="miter"/>
            <v:imagedata r:id="rId8" o:title="中国建筑一局（集团）有限公司－中英文（横式组合）"/>
            <o:lock v:ext="edit" aspectratio="t"/>
            <w10:wrap type="none"/>
            <w10:anchorlock/>
          </v:shape>
        </w:pict>
      </w:r>
    </w:p>
    <w:p>
      <w:pPr>
        <w:widowControl/>
        <w:ind w:left="-141" w:leftChars="-67" w:firstLine="141" w:firstLineChars="59"/>
        <w:jc w:val="left"/>
        <w:rPr>
          <w:rFonts w:ascii="宋体" w:hAnsi="宋体" w:cs="宋体"/>
          <w:kern w:val="0"/>
          <w:sz w:val="24"/>
          <w:szCs w:val="24"/>
        </w:rPr>
      </w:pPr>
    </w:p>
    <w:p>
      <w:pPr>
        <w:rPr>
          <w:rFonts w:ascii="宋体" w:hAnsi="宋体" w:cs="宋体"/>
        </w:rPr>
      </w:pPr>
    </w:p>
    <w:p>
      <w:pPr>
        <w:ind w:firstLine="800" w:firstLineChars="250"/>
        <w:jc w:val="left"/>
        <w:rPr>
          <w:rFonts w:ascii="宋体" w:hAnsi="宋体" w:cs="宋体"/>
          <w:spacing w:val="-2"/>
          <w:w w:val="90"/>
          <w:sz w:val="36"/>
        </w:rPr>
      </w:pPr>
    </w:p>
    <w:p>
      <w:pPr>
        <w:ind w:firstLine="800" w:firstLineChars="250"/>
        <w:jc w:val="left"/>
        <w:rPr>
          <w:rFonts w:ascii="宋体" w:hAnsi="宋体" w:cs="宋体"/>
          <w:spacing w:val="-2"/>
          <w:w w:val="90"/>
          <w:sz w:val="36"/>
        </w:rPr>
      </w:pPr>
    </w:p>
    <w:p>
      <w:pPr>
        <w:spacing w:line="360" w:lineRule="auto"/>
        <w:ind w:left="425"/>
        <w:rPr>
          <w:rFonts w:ascii="宋体" w:hAnsi="宋体" w:cs="宋体"/>
          <w:spacing w:val="-20"/>
          <w:sz w:val="36"/>
        </w:rPr>
      </w:pPr>
    </w:p>
    <w:p>
      <w:pPr>
        <w:jc w:val="left"/>
        <w:rPr>
          <w:rFonts w:ascii="宋体" w:hAnsi="宋体" w:cs="宋体"/>
          <w:b/>
          <w:bCs/>
          <w:sz w:val="36"/>
        </w:rPr>
      </w:pPr>
    </w:p>
    <w:p>
      <w:pPr>
        <w:ind w:firstLine="1920" w:firstLineChars="400"/>
        <w:jc w:val="left"/>
        <w:rPr>
          <w:rFonts w:ascii="宋体" w:hAnsi="宋体" w:cs="宋体"/>
          <w:sz w:val="48"/>
          <w:szCs w:val="48"/>
        </w:rPr>
      </w:pPr>
      <w:r>
        <w:rPr>
          <w:rFonts w:hint="eastAsia" w:ascii="宋体" w:hAnsi="宋体" w:cs="宋体"/>
          <w:sz w:val="48"/>
          <w:szCs w:val="48"/>
          <w:lang w:val="en-US" w:eastAsia="zh-CN"/>
        </w:rPr>
        <w:t>甜水湾花园小区一期</w:t>
      </w:r>
      <w:r>
        <w:rPr>
          <w:rFonts w:hint="eastAsia" w:ascii="宋体" w:hAnsi="宋体" w:cs="宋体"/>
          <w:sz w:val="48"/>
          <w:szCs w:val="48"/>
        </w:rPr>
        <w:t>项目</w:t>
      </w:r>
    </w:p>
    <w:p>
      <w:pPr>
        <w:ind w:firstLine="1920" w:firstLineChars="400"/>
        <w:jc w:val="left"/>
        <w:rPr>
          <w:rFonts w:ascii="宋体" w:hAnsi="宋体" w:cs="宋体"/>
          <w:b/>
          <w:bCs/>
          <w:sz w:val="48"/>
          <w:szCs w:val="48"/>
        </w:rPr>
      </w:pPr>
      <w:r>
        <w:rPr>
          <w:rFonts w:hint="eastAsia" w:ascii="宋体" w:hAnsi="宋体" w:cs="宋体"/>
          <w:sz w:val="48"/>
          <w:szCs w:val="48"/>
        </w:rPr>
        <w:t xml:space="preserve">        之</w:t>
      </w:r>
    </w:p>
    <w:p>
      <w:pPr>
        <w:rPr>
          <w:rFonts w:ascii="Calibri" w:hAnsi="Calibri" w:cs="宋体"/>
          <w:szCs w:val="21"/>
        </w:rPr>
      </w:pPr>
      <w:r>
        <w:rPr>
          <w:rFonts w:hint="eastAsia" w:ascii="宋体" w:hAnsi="宋体" w:cs="宋体"/>
          <w:sz w:val="48"/>
          <w:szCs w:val="48"/>
        </w:rPr>
        <w:t xml:space="preserve">         塔吊安拆分包合同</w:t>
      </w:r>
    </w:p>
    <w:p>
      <w:pPr>
        <w:jc w:val="center"/>
        <w:rPr>
          <w:rFonts w:ascii="宋体" w:hAnsi="宋体" w:cs="宋体"/>
          <w:spacing w:val="-20"/>
          <w:w w:val="90"/>
          <w:sz w:val="36"/>
        </w:rPr>
      </w:pPr>
    </w:p>
    <w:p>
      <w:pPr>
        <w:jc w:val="center"/>
        <w:rPr>
          <w:rFonts w:ascii="宋体" w:hAnsi="宋体" w:cs="宋体"/>
          <w:spacing w:val="-20"/>
          <w:w w:val="90"/>
          <w:sz w:val="36"/>
        </w:rPr>
      </w:pPr>
    </w:p>
    <w:p>
      <w:pPr>
        <w:jc w:val="center"/>
        <w:rPr>
          <w:rFonts w:ascii="宋体" w:hAnsi="宋体" w:cs="宋体"/>
          <w:spacing w:val="-20"/>
          <w:w w:val="90"/>
          <w:sz w:val="36"/>
        </w:rPr>
      </w:pPr>
    </w:p>
    <w:p>
      <w:pPr>
        <w:jc w:val="center"/>
        <w:rPr>
          <w:rFonts w:ascii="宋体" w:hAnsi="宋体" w:cs="宋体"/>
          <w:spacing w:val="-20"/>
          <w:w w:val="90"/>
          <w:sz w:val="36"/>
        </w:rPr>
      </w:pPr>
    </w:p>
    <w:p>
      <w:pPr>
        <w:jc w:val="center"/>
        <w:rPr>
          <w:rFonts w:ascii="宋体" w:hAnsi="宋体" w:cs="宋体"/>
          <w:spacing w:val="-20"/>
          <w:w w:val="90"/>
          <w:sz w:val="36"/>
        </w:rPr>
      </w:pPr>
    </w:p>
    <w:p>
      <w:pPr>
        <w:jc w:val="center"/>
        <w:rPr>
          <w:rFonts w:ascii="宋体" w:hAnsi="宋体" w:cs="宋体"/>
          <w:spacing w:val="-20"/>
          <w:w w:val="90"/>
          <w:sz w:val="36"/>
        </w:rPr>
      </w:pPr>
    </w:p>
    <w:p>
      <w:pPr>
        <w:rPr>
          <w:szCs w:val="21"/>
        </w:rPr>
      </w:pPr>
      <w:r>
        <w:rPr>
          <w:rFonts w:hint="eastAsia" w:ascii="宋体" w:hAnsi="宋体" w:cs="宋体"/>
          <w:sz w:val="28"/>
          <w:szCs w:val="28"/>
        </w:rPr>
        <w:t xml:space="preserve">   总包方（甲方）：</w:t>
      </w:r>
      <w:r>
        <w:rPr>
          <w:rFonts w:hint="eastAsia" w:ascii="宋体" w:hAnsi="宋体"/>
          <w:bCs/>
          <w:sz w:val="28"/>
          <w:szCs w:val="28"/>
          <w:u w:val="single"/>
        </w:rPr>
        <w:t xml:space="preserve">中国建筑一局（集团）有限公司 </w:t>
      </w:r>
    </w:p>
    <w:p>
      <w:pPr>
        <w:rPr>
          <w:rFonts w:ascii="宋体" w:hAnsi="宋体" w:cs="宋体"/>
          <w:sz w:val="28"/>
          <w:szCs w:val="28"/>
        </w:rPr>
      </w:pPr>
      <w:r>
        <w:rPr>
          <w:rFonts w:hint="eastAsia" w:ascii="宋体" w:hAnsi="宋体" w:cs="宋体"/>
          <w:sz w:val="28"/>
          <w:szCs w:val="28"/>
        </w:rPr>
        <w:t xml:space="preserve">   分包方（乙方）：</w:t>
      </w:r>
    </w:p>
    <w:p>
      <w:r>
        <w:rPr>
          <w:rFonts w:hint="eastAsia" w:ascii="宋体" w:hAnsi="宋体" w:cs="宋体"/>
          <w:sz w:val="28"/>
          <w:szCs w:val="28"/>
        </w:rPr>
        <w:t xml:space="preserve">   合同订立地点：</w:t>
      </w:r>
      <w:r>
        <w:rPr>
          <w:rFonts w:hint="eastAsia" w:ascii="宋体" w:hAnsi="宋体"/>
          <w:sz w:val="28"/>
          <w:szCs w:val="28"/>
        </w:rPr>
        <w:t>天津市滨海新区</w:t>
      </w:r>
    </w:p>
    <w:p>
      <w:pPr>
        <w:rPr>
          <w:rFonts w:ascii="宋体" w:hAnsi="宋体" w:cs="宋体"/>
          <w:sz w:val="28"/>
          <w:szCs w:val="28"/>
        </w:rPr>
      </w:pPr>
      <w:r>
        <w:rPr>
          <w:rFonts w:hint="eastAsia" w:ascii="宋体" w:hAnsi="宋体" w:cs="宋体"/>
          <w:sz w:val="28"/>
          <w:szCs w:val="28"/>
        </w:rPr>
        <w:t xml:space="preserve">   合同订立日期：</w:t>
      </w:r>
    </w:p>
    <w:p>
      <w:pPr>
        <w:rPr>
          <w:rFonts w:ascii="宋体" w:hAnsi="宋体" w:cs="宋体"/>
          <w:sz w:val="28"/>
          <w:szCs w:val="28"/>
          <w:u w:val="single"/>
        </w:rPr>
      </w:pPr>
    </w:p>
    <w:p>
      <w:pPr>
        <w:topLinePunct/>
        <w:spacing w:before="100" w:beforeAutospacing="1" w:after="100" w:afterAutospacing="1" w:line="360" w:lineRule="auto"/>
        <w:contextualSpacing/>
        <w:jc w:val="center"/>
        <w:rPr>
          <w:b/>
          <w:sz w:val="32"/>
          <w:szCs w:val="32"/>
        </w:rPr>
      </w:pPr>
      <w:r>
        <w:rPr>
          <w:b/>
          <w:sz w:val="32"/>
          <w:szCs w:val="32"/>
          <w:lang w:val="zh-CN"/>
        </w:rPr>
        <w:t>目录</w:t>
      </w:r>
    </w:p>
    <w:p>
      <w:pPr>
        <w:pStyle w:val="14"/>
        <w:rPr>
          <w:rFonts w:ascii="Calibri" w:hAnsi="Calibri"/>
          <w:szCs w:val="22"/>
        </w:rPr>
      </w:pPr>
      <w:r>
        <w:rPr>
          <w:rFonts w:ascii="宋体" w:hAnsi="宋体"/>
          <w:b/>
          <w:szCs w:val="21"/>
        </w:rPr>
        <w:fldChar w:fldCharType="begin"/>
      </w:r>
      <w:r>
        <w:rPr>
          <w:rFonts w:ascii="宋体" w:hAnsi="宋体"/>
          <w:b/>
          <w:szCs w:val="21"/>
        </w:rPr>
        <w:instrText xml:space="preserve"> TOC \o "1-3" \h \z \u </w:instrText>
      </w:r>
      <w:r>
        <w:rPr>
          <w:rFonts w:ascii="宋体" w:hAnsi="宋体"/>
          <w:b/>
          <w:szCs w:val="21"/>
        </w:rPr>
        <w:fldChar w:fldCharType="separate"/>
      </w:r>
      <w:r>
        <w:fldChar w:fldCharType="begin"/>
      </w:r>
      <w:r>
        <w:instrText xml:space="preserve"> HYPERLINK \l "_Toc20329348" </w:instrText>
      </w:r>
      <w:r>
        <w:fldChar w:fldCharType="separate"/>
      </w:r>
      <w:r>
        <w:rPr>
          <w:rStyle w:val="19"/>
        </w:rPr>
        <w:t>第一条：工程概况</w:t>
      </w:r>
      <w:r>
        <w:tab/>
      </w:r>
      <w:r>
        <w:fldChar w:fldCharType="begin"/>
      </w:r>
      <w:r>
        <w:instrText xml:space="preserve"> PAGEREF _Toc20329348 \h </w:instrText>
      </w:r>
      <w:r>
        <w:fldChar w:fldCharType="separate"/>
      </w:r>
      <w:r>
        <w:t>1</w:t>
      </w:r>
      <w:r>
        <w:fldChar w:fldCharType="end"/>
      </w:r>
      <w:r>
        <w:fldChar w:fldCharType="end"/>
      </w:r>
    </w:p>
    <w:p>
      <w:pPr>
        <w:pStyle w:val="14"/>
        <w:rPr>
          <w:rFonts w:ascii="Calibri" w:hAnsi="Calibri"/>
          <w:szCs w:val="22"/>
        </w:rPr>
      </w:pPr>
      <w:r>
        <w:fldChar w:fldCharType="begin"/>
      </w:r>
      <w:r>
        <w:instrText xml:space="preserve"> HYPERLINK \l "_Toc20329349" </w:instrText>
      </w:r>
      <w:r>
        <w:fldChar w:fldCharType="separate"/>
      </w:r>
      <w:r>
        <w:rPr>
          <w:rStyle w:val="19"/>
        </w:rPr>
        <w:t>第二条：分包范围</w:t>
      </w:r>
      <w:r>
        <w:tab/>
      </w:r>
      <w:r>
        <w:fldChar w:fldCharType="begin"/>
      </w:r>
      <w:r>
        <w:instrText xml:space="preserve"> PAGEREF _Toc20329349 \h </w:instrText>
      </w:r>
      <w:r>
        <w:fldChar w:fldCharType="separate"/>
      </w:r>
      <w:r>
        <w:t>1</w:t>
      </w:r>
      <w:r>
        <w:fldChar w:fldCharType="end"/>
      </w:r>
      <w:r>
        <w:fldChar w:fldCharType="end"/>
      </w:r>
    </w:p>
    <w:p>
      <w:pPr>
        <w:pStyle w:val="14"/>
        <w:rPr>
          <w:rFonts w:ascii="Calibri" w:hAnsi="Calibri"/>
          <w:szCs w:val="22"/>
        </w:rPr>
      </w:pPr>
      <w:r>
        <w:fldChar w:fldCharType="begin"/>
      </w:r>
      <w:r>
        <w:instrText xml:space="preserve"> HYPERLINK \l "_Toc20329350" </w:instrText>
      </w:r>
      <w:r>
        <w:fldChar w:fldCharType="separate"/>
      </w:r>
      <w:r>
        <w:rPr>
          <w:rStyle w:val="19"/>
        </w:rPr>
        <w:t>第三条：承包方式</w:t>
      </w:r>
      <w:r>
        <w:tab/>
      </w:r>
      <w:r>
        <w:fldChar w:fldCharType="begin"/>
      </w:r>
      <w:r>
        <w:instrText xml:space="preserve"> PAGEREF _Toc20329350 \h </w:instrText>
      </w:r>
      <w:r>
        <w:fldChar w:fldCharType="separate"/>
      </w:r>
      <w:r>
        <w:t>1</w:t>
      </w:r>
      <w:r>
        <w:fldChar w:fldCharType="end"/>
      </w:r>
      <w:r>
        <w:fldChar w:fldCharType="end"/>
      </w:r>
    </w:p>
    <w:p>
      <w:pPr>
        <w:pStyle w:val="14"/>
        <w:rPr>
          <w:rFonts w:ascii="Calibri" w:hAnsi="Calibri"/>
          <w:szCs w:val="22"/>
        </w:rPr>
      </w:pPr>
      <w:r>
        <w:fldChar w:fldCharType="begin"/>
      </w:r>
      <w:r>
        <w:instrText xml:space="preserve"> HYPERLINK \l "_Toc20329351" </w:instrText>
      </w:r>
      <w:r>
        <w:fldChar w:fldCharType="separate"/>
      </w:r>
      <w:r>
        <w:rPr>
          <w:rStyle w:val="19"/>
        </w:rPr>
        <w:t>第四条：乙方身份类别</w:t>
      </w:r>
      <w:r>
        <w:tab/>
      </w:r>
      <w:r>
        <w:fldChar w:fldCharType="begin"/>
      </w:r>
      <w:r>
        <w:instrText xml:space="preserve"> PAGEREF _Toc20329351 \h </w:instrText>
      </w:r>
      <w:r>
        <w:fldChar w:fldCharType="separate"/>
      </w:r>
      <w:r>
        <w:t>1</w:t>
      </w:r>
      <w:r>
        <w:fldChar w:fldCharType="end"/>
      </w:r>
      <w:r>
        <w:fldChar w:fldCharType="end"/>
      </w:r>
    </w:p>
    <w:p>
      <w:pPr>
        <w:pStyle w:val="14"/>
        <w:rPr>
          <w:rFonts w:ascii="Calibri" w:hAnsi="Calibri"/>
          <w:szCs w:val="22"/>
        </w:rPr>
      </w:pPr>
      <w:r>
        <w:fldChar w:fldCharType="begin"/>
      </w:r>
      <w:r>
        <w:instrText xml:space="preserve"> HYPERLINK \l "_Toc20329352" </w:instrText>
      </w:r>
      <w:r>
        <w:fldChar w:fldCharType="separate"/>
      </w:r>
      <w:r>
        <w:rPr>
          <w:rStyle w:val="19"/>
        </w:rPr>
        <w:t>第五条：安拆设备概况</w:t>
      </w:r>
      <w:r>
        <w:tab/>
      </w:r>
      <w:r>
        <w:fldChar w:fldCharType="begin"/>
      </w:r>
      <w:r>
        <w:instrText xml:space="preserve"> PAGEREF _Toc20329352 \h </w:instrText>
      </w:r>
      <w:r>
        <w:fldChar w:fldCharType="separate"/>
      </w:r>
      <w:r>
        <w:t>2</w:t>
      </w:r>
      <w:r>
        <w:fldChar w:fldCharType="end"/>
      </w:r>
      <w:r>
        <w:fldChar w:fldCharType="end"/>
      </w:r>
    </w:p>
    <w:p>
      <w:pPr>
        <w:pStyle w:val="14"/>
        <w:rPr>
          <w:rFonts w:ascii="Calibri" w:hAnsi="Calibri"/>
          <w:szCs w:val="22"/>
        </w:rPr>
      </w:pPr>
      <w:r>
        <w:fldChar w:fldCharType="begin"/>
      </w:r>
      <w:r>
        <w:instrText xml:space="preserve"> HYPERLINK \l "_Toc20329353" </w:instrText>
      </w:r>
      <w:r>
        <w:fldChar w:fldCharType="separate"/>
      </w:r>
      <w:r>
        <w:rPr>
          <w:rStyle w:val="19"/>
        </w:rPr>
        <w:t>第六条：价款与计量</w:t>
      </w:r>
      <w:r>
        <w:tab/>
      </w:r>
      <w:r>
        <w:fldChar w:fldCharType="begin"/>
      </w:r>
      <w:r>
        <w:instrText xml:space="preserve"> PAGEREF _Toc20329353 \h </w:instrText>
      </w:r>
      <w:r>
        <w:fldChar w:fldCharType="separate"/>
      </w:r>
      <w:r>
        <w:t>2</w:t>
      </w:r>
      <w:r>
        <w:fldChar w:fldCharType="end"/>
      </w:r>
      <w:r>
        <w:fldChar w:fldCharType="end"/>
      </w:r>
    </w:p>
    <w:p>
      <w:pPr>
        <w:pStyle w:val="14"/>
        <w:rPr>
          <w:rFonts w:ascii="Calibri" w:hAnsi="Calibri"/>
          <w:szCs w:val="22"/>
        </w:rPr>
      </w:pPr>
      <w:r>
        <w:fldChar w:fldCharType="begin"/>
      </w:r>
      <w:r>
        <w:instrText xml:space="preserve"> HYPERLINK \l "_Toc20329354" </w:instrText>
      </w:r>
      <w:r>
        <w:fldChar w:fldCharType="separate"/>
      </w:r>
      <w:r>
        <w:rPr>
          <w:rStyle w:val="19"/>
        </w:rPr>
        <w:t>第七条：付款与结算</w:t>
      </w:r>
      <w:r>
        <w:tab/>
      </w:r>
      <w:r>
        <w:fldChar w:fldCharType="begin"/>
      </w:r>
      <w:r>
        <w:instrText xml:space="preserve"> PAGEREF _Toc20329354 \h </w:instrText>
      </w:r>
      <w:r>
        <w:fldChar w:fldCharType="separate"/>
      </w:r>
      <w:r>
        <w:t>4</w:t>
      </w:r>
      <w:r>
        <w:fldChar w:fldCharType="end"/>
      </w:r>
      <w:r>
        <w:fldChar w:fldCharType="end"/>
      </w:r>
    </w:p>
    <w:p>
      <w:pPr>
        <w:pStyle w:val="14"/>
        <w:rPr>
          <w:rFonts w:ascii="Calibri" w:hAnsi="Calibri"/>
          <w:szCs w:val="22"/>
        </w:rPr>
      </w:pPr>
      <w:r>
        <w:fldChar w:fldCharType="begin"/>
      </w:r>
      <w:r>
        <w:instrText xml:space="preserve"> HYPERLINK \l "_Toc20329355" </w:instrText>
      </w:r>
      <w:r>
        <w:fldChar w:fldCharType="separate"/>
      </w:r>
      <w:r>
        <w:rPr>
          <w:rStyle w:val="19"/>
        </w:rPr>
        <w:t>第八条：塔吊安拆施工工期</w:t>
      </w:r>
      <w:r>
        <w:tab/>
      </w:r>
      <w:r>
        <w:fldChar w:fldCharType="begin"/>
      </w:r>
      <w:r>
        <w:instrText xml:space="preserve"> PAGEREF _Toc20329355 \h </w:instrText>
      </w:r>
      <w:r>
        <w:fldChar w:fldCharType="separate"/>
      </w:r>
      <w:r>
        <w:t>8</w:t>
      </w:r>
      <w:r>
        <w:fldChar w:fldCharType="end"/>
      </w:r>
      <w:r>
        <w:fldChar w:fldCharType="end"/>
      </w:r>
    </w:p>
    <w:p>
      <w:pPr>
        <w:pStyle w:val="14"/>
        <w:rPr>
          <w:rFonts w:ascii="Calibri" w:hAnsi="Calibri"/>
          <w:szCs w:val="22"/>
        </w:rPr>
      </w:pPr>
      <w:r>
        <w:fldChar w:fldCharType="begin"/>
      </w:r>
      <w:r>
        <w:instrText xml:space="preserve"> HYPERLINK \l "_Toc20329356" </w:instrText>
      </w:r>
      <w:r>
        <w:fldChar w:fldCharType="separate"/>
      </w:r>
      <w:r>
        <w:rPr>
          <w:rStyle w:val="19"/>
        </w:rPr>
        <w:t>第九条：工期延误</w:t>
      </w:r>
      <w:r>
        <w:tab/>
      </w:r>
      <w:r>
        <w:fldChar w:fldCharType="begin"/>
      </w:r>
      <w:r>
        <w:instrText xml:space="preserve"> PAGEREF _Toc20329356 \h </w:instrText>
      </w:r>
      <w:r>
        <w:fldChar w:fldCharType="separate"/>
      </w:r>
      <w:r>
        <w:t>8</w:t>
      </w:r>
      <w:r>
        <w:fldChar w:fldCharType="end"/>
      </w:r>
      <w:r>
        <w:fldChar w:fldCharType="end"/>
      </w:r>
    </w:p>
    <w:p>
      <w:pPr>
        <w:pStyle w:val="14"/>
        <w:rPr>
          <w:rFonts w:ascii="Calibri" w:hAnsi="Calibri"/>
          <w:szCs w:val="22"/>
        </w:rPr>
      </w:pPr>
      <w:r>
        <w:fldChar w:fldCharType="begin"/>
      </w:r>
      <w:r>
        <w:instrText xml:space="preserve"> HYPERLINK \l "_Toc20329357" </w:instrText>
      </w:r>
      <w:r>
        <w:fldChar w:fldCharType="separate"/>
      </w:r>
      <w:r>
        <w:rPr>
          <w:rStyle w:val="19"/>
        </w:rPr>
        <w:t>第十条：不可抗力</w:t>
      </w:r>
      <w:r>
        <w:tab/>
      </w:r>
      <w:r>
        <w:fldChar w:fldCharType="begin"/>
      </w:r>
      <w:r>
        <w:instrText xml:space="preserve"> PAGEREF _Toc20329357 \h </w:instrText>
      </w:r>
      <w:r>
        <w:fldChar w:fldCharType="separate"/>
      </w:r>
      <w:r>
        <w:t>8</w:t>
      </w:r>
      <w:r>
        <w:fldChar w:fldCharType="end"/>
      </w:r>
      <w:r>
        <w:fldChar w:fldCharType="end"/>
      </w:r>
    </w:p>
    <w:p>
      <w:pPr>
        <w:pStyle w:val="14"/>
        <w:rPr>
          <w:rFonts w:ascii="Calibri" w:hAnsi="Calibri"/>
          <w:szCs w:val="22"/>
        </w:rPr>
      </w:pPr>
      <w:r>
        <w:fldChar w:fldCharType="begin"/>
      </w:r>
      <w:r>
        <w:instrText xml:space="preserve"> HYPERLINK \l "_Toc20329358" </w:instrText>
      </w:r>
      <w:r>
        <w:fldChar w:fldCharType="separate"/>
      </w:r>
      <w:r>
        <w:rPr>
          <w:rStyle w:val="19"/>
        </w:rPr>
        <w:t>第十一条：变更与变更计价</w:t>
      </w:r>
      <w:r>
        <w:tab/>
      </w:r>
      <w:r>
        <w:fldChar w:fldCharType="begin"/>
      </w:r>
      <w:r>
        <w:instrText xml:space="preserve"> PAGEREF _Toc20329358 \h </w:instrText>
      </w:r>
      <w:r>
        <w:fldChar w:fldCharType="separate"/>
      </w:r>
      <w:r>
        <w:t>9</w:t>
      </w:r>
      <w:r>
        <w:fldChar w:fldCharType="end"/>
      </w:r>
      <w:r>
        <w:fldChar w:fldCharType="end"/>
      </w:r>
    </w:p>
    <w:p>
      <w:pPr>
        <w:pStyle w:val="14"/>
        <w:rPr>
          <w:rFonts w:ascii="Calibri" w:hAnsi="Calibri"/>
          <w:szCs w:val="22"/>
        </w:rPr>
      </w:pPr>
      <w:r>
        <w:fldChar w:fldCharType="begin"/>
      </w:r>
      <w:r>
        <w:instrText xml:space="preserve"> HYPERLINK \l "_Toc20329359" </w:instrText>
      </w:r>
      <w:r>
        <w:fldChar w:fldCharType="separate"/>
      </w:r>
      <w:r>
        <w:rPr>
          <w:rStyle w:val="19"/>
        </w:rPr>
        <w:t>第十二条：技术质量要求</w:t>
      </w:r>
      <w:r>
        <w:tab/>
      </w:r>
      <w:r>
        <w:fldChar w:fldCharType="begin"/>
      </w:r>
      <w:r>
        <w:instrText xml:space="preserve"> PAGEREF _Toc20329359 \h </w:instrText>
      </w:r>
      <w:r>
        <w:fldChar w:fldCharType="separate"/>
      </w:r>
      <w:r>
        <w:t>9</w:t>
      </w:r>
      <w:r>
        <w:fldChar w:fldCharType="end"/>
      </w:r>
      <w:r>
        <w:fldChar w:fldCharType="end"/>
      </w:r>
    </w:p>
    <w:p>
      <w:pPr>
        <w:pStyle w:val="14"/>
        <w:rPr>
          <w:rFonts w:ascii="Calibri" w:hAnsi="Calibri"/>
          <w:szCs w:val="22"/>
        </w:rPr>
      </w:pPr>
      <w:r>
        <w:fldChar w:fldCharType="begin"/>
      </w:r>
      <w:r>
        <w:instrText xml:space="preserve"> HYPERLINK \l "_Toc20329360" </w:instrText>
      </w:r>
      <w:r>
        <w:fldChar w:fldCharType="separate"/>
      </w:r>
      <w:r>
        <w:rPr>
          <w:rStyle w:val="19"/>
        </w:rPr>
        <w:t>第十三条：现场及人员管理</w:t>
      </w:r>
      <w:r>
        <w:tab/>
      </w:r>
      <w:r>
        <w:fldChar w:fldCharType="begin"/>
      </w:r>
      <w:r>
        <w:instrText xml:space="preserve"> PAGEREF _Toc20329360 \h </w:instrText>
      </w:r>
      <w:r>
        <w:fldChar w:fldCharType="separate"/>
      </w:r>
      <w:r>
        <w:t>9</w:t>
      </w:r>
      <w:r>
        <w:fldChar w:fldCharType="end"/>
      </w:r>
      <w:r>
        <w:fldChar w:fldCharType="end"/>
      </w:r>
    </w:p>
    <w:p>
      <w:pPr>
        <w:pStyle w:val="14"/>
        <w:rPr>
          <w:rFonts w:ascii="Calibri" w:hAnsi="Calibri"/>
          <w:szCs w:val="22"/>
        </w:rPr>
      </w:pPr>
      <w:r>
        <w:fldChar w:fldCharType="begin"/>
      </w:r>
      <w:r>
        <w:instrText xml:space="preserve"> HYPERLINK \l "_Toc20329361" </w:instrText>
      </w:r>
      <w:r>
        <w:fldChar w:fldCharType="separate"/>
      </w:r>
      <w:r>
        <w:rPr>
          <w:rStyle w:val="19"/>
        </w:rPr>
        <w:t>第十四条：甲方一般职责</w:t>
      </w:r>
      <w:r>
        <w:tab/>
      </w:r>
      <w:r>
        <w:fldChar w:fldCharType="begin"/>
      </w:r>
      <w:r>
        <w:instrText xml:space="preserve"> PAGEREF _Toc20329361 \h </w:instrText>
      </w:r>
      <w:r>
        <w:fldChar w:fldCharType="separate"/>
      </w:r>
      <w:r>
        <w:t>10</w:t>
      </w:r>
      <w:r>
        <w:fldChar w:fldCharType="end"/>
      </w:r>
      <w:r>
        <w:fldChar w:fldCharType="end"/>
      </w:r>
    </w:p>
    <w:p>
      <w:pPr>
        <w:pStyle w:val="14"/>
        <w:rPr>
          <w:rFonts w:ascii="Calibri" w:hAnsi="Calibri"/>
          <w:szCs w:val="22"/>
        </w:rPr>
      </w:pPr>
      <w:r>
        <w:fldChar w:fldCharType="begin"/>
      </w:r>
      <w:r>
        <w:instrText xml:space="preserve"> HYPERLINK \l "_Toc20329362" </w:instrText>
      </w:r>
      <w:r>
        <w:fldChar w:fldCharType="separate"/>
      </w:r>
      <w:r>
        <w:rPr>
          <w:rStyle w:val="19"/>
        </w:rPr>
        <w:t>第十五条：乙方一般职责</w:t>
      </w:r>
      <w:r>
        <w:tab/>
      </w:r>
      <w:r>
        <w:fldChar w:fldCharType="begin"/>
      </w:r>
      <w:r>
        <w:instrText xml:space="preserve"> PAGEREF _Toc20329362 \h </w:instrText>
      </w:r>
      <w:r>
        <w:fldChar w:fldCharType="separate"/>
      </w:r>
      <w:r>
        <w:t>11</w:t>
      </w:r>
      <w:r>
        <w:fldChar w:fldCharType="end"/>
      </w:r>
      <w:r>
        <w:fldChar w:fldCharType="end"/>
      </w:r>
    </w:p>
    <w:p>
      <w:pPr>
        <w:pStyle w:val="14"/>
        <w:rPr>
          <w:rFonts w:ascii="Calibri" w:hAnsi="Calibri"/>
          <w:szCs w:val="22"/>
        </w:rPr>
      </w:pPr>
      <w:r>
        <w:fldChar w:fldCharType="begin"/>
      </w:r>
      <w:r>
        <w:instrText xml:space="preserve"> HYPERLINK \l "_Toc20329363" </w:instrText>
      </w:r>
      <w:r>
        <w:fldChar w:fldCharType="separate"/>
      </w:r>
      <w:r>
        <w:rPr>
          <w:rStyle w:val="19"/>
        </w:rPr>
        <w:t>第十六条：环保与职业安全</w:t>
      </w:r>
      <w:r>
        <w:tab/>
      </w:r>
      <w:r>
        <w:fldChar w:fldCharType="begin"/>
      </w:r>
      <w:r>
        <w:instrText xml:space="preserve"> PAGEREF _Toc20329363 \h </w:instrText>
      </w:r>
      <w:r>
        <w:fldChar w:fldCharType="separate"/>
      </w:r>
      <w:r>
        <w:t>12</w:t>
      </w:r>
      <w:r>
        <w:fldChar w:fldCharType="end"/>
      </w:r>
      <w:r>
        <w:fldChar w:fldCharType="end"/>
      </w:r>
    </w:p>
    <w:p>
      <w:pPr>
        <w:pStyle w:val="14"/>
        <w:rPr>
          <w:rFonts w:ascii="Calibri" w:hAnsi="Calibri"/>
          <w:szCs w:val="22"/>
        </w:rPr>
      </w:pPr>
      <w:r>
        <w:fldChar w:fldCharType="begin"/>
      </w:r>
      <w:r>
        <w:instrText xml:space="preserve"> HYPERLINK \l "_Toc20329364" </w:instrText>
      </w:r>
      <w:r>
        <w:fldChar w:fldCharType="separate"/>
      </w:r>
      <w:r>
        <w:rPr>
          <w:rStyle w:val="19"/>
        </w:rPr>
        <w:t>第十七条：合同文件组成与解释顺序</w:t>
      </w:r>
      <w:r>
        <w:tab/>
      </w:r>
      <w:r>
        <w:fldChar w:fldCharType="begin"/>
      </w:r>
      <w:r>
        <w:instrText xml:space="preserve"> PAGEREF _Toc20329364 \h </w:instrText>
      </w:r>
      <w:r>
        <w:fldChar w:fldCharType="separate"/>
      </w:r>
      <w:r>
        <w:t>12</w:t>
      </w:r>
      <w:r>
        <w:fldChar w:fldCharType="end"/>
      </w:r>
      <w:r>
        <w:fldChar w:fldCharType="end"/>
      </w:r>
    </w:p>
    <w:p>
      <w:pPr>
        <w:pStyle w:val="14"/>
        <w:rPr>
          <w:rFonts w:ascii="Calibri" w:hAnsi="Calibri"/>
          <w:szCs w:val="22"/>
        </w:rPr>
      </w:pPr>
      <w:r>
        <w:fldChar w:fldCharType="begin"/>
      </w:r>
      <w:r>
        <w:instrText xml:space="preserve"> HYPERLINK \l "_Toc20329365" </w:instrText>
      </w:r>
      <w:r>
        <w:fldChar w:fldCharType="separate"/>
      </w:r>
      <w:r>
        <w:rPr>
          <w:rStyle w:val="19"/>
        </w:rPr>
        <w:t>第十八条：合同使用的语言文字及适用法律</w:t>
      </w:r>
      <w:r>
        <w:tab/>
      </w:r>
      <w:r>
        <w:fldChar w:fldCharType="begin"/>
      </w:r>
      <w:r>
        <w:instrText xml:space="preserve"> PAGEREF _Toc20329365 \h </w:instrText>
      </w:r>
      <w:r>
        <w:fldChar w:fldCharType="separate"/>
      </w:r>
      <w:r>
        <w:t>12</w:t>
      </w:r>
      <w:r>
        <w:fldChar w:fldCharType="end"/>
      </w:r>
      <w:r>
        <w:fldChar w:fldCharType="end"/>
      </w:r>
    </w:p>
    <w:p>
      <w:pPr>
        <w:pStyle w:val="14"/>
        <w:rPr>
          <w:rFonts w:ascii="Calibri" w:hAnsi="Calibri"/>
          <w:szCs w:val="22"/>
        </w:rPr>
      </w:pPr>
      <w:r>
        <w:fldChar w:fldCharType="begin"/>
      </w:r>
      <w:r>
        <w:instrText xml:space="preserve"> HYPERLINK \l "_Toc20329366" </w:instrText>
      </w:r>
      <w:r>
        <w:fldChar w:fldCharType="separate"/>
      </w:r>
      <w:r>
        <w:rPr>
          <w:rStyle w:val="19"/>
        </w:rPr>
        <w:t>第十九条：违约</w:t>
      </w:r>
      <w:r>
        <w:tab/>
      </w:r>
      <w:r>
        <w:fldChar w:fldCharType="begin"/>
      </w:r>
      <w:r>
        <w:instrText xml:space="preserve"> PAGEREF _Toc20329366 \h </w:instrText>
      </w:r>
      <w:r>
        <w:fldChar w:fldCharType="separate"/>
      </w:r>
      <w:r>
        <w:t>12</w:t>
      </w:r>
      <w:r>
        <w:fldChar w:fldCharType="end"/>
      </w:r>
      <w:r>
        <w:fldChar w:fldCharType="end"/>
      </w:r>
    </w:p>
    <w:p>
      <w:pPr>
        <w:pStyle w:val="14"/>
        <w:rPr>
          <w:rFonts w:ascii="Calibri" w:hAnsi="Calibri"/>
          <w:szCs w:val="22"/>
        </w:rPr>
      </w:pPr>
      <w:r>
        <w:fldChar w:fldCharType="begin"/>
      </w:r>
      <w:r>
        <w:instrText xml:space="preserve"> HYPERLINK \l "_Toc20329367" </w:instrText>
      </w:r>
      <w:r>
        <w:fldChar w:fldCharType="separate"/>
      </w:r>
      <w:r>
        <w:rPr>
          <w:rStyle w:val="19"/>
        </w:rPr>
        <w:t>第二十条：合同生效与终止</w:t>
      </w:r>
      <w:r>
        <w:tab/>
      </w:r>
      <w:r>
        <w:fldChar w:fldCharType="begin"/>
      </w:r>
      <w:r>
        <w:instrText xml:space="preserve"> PAGEREF _Toc20329367 \h </w:instrText>
      </w:r>
      <w:r>
        <w:fldChar w:fldCharType="separate"/>
      </w:r>
      <w:r>
        <w:t>13</w:t>
      </w:r>
      <w:r>
        <w:fldChar w:fldCharType="end"/>
      </w:r>
      <w:r>
        <w:fldChar w:fldCharType="end"/>
      </w:r>
    </w:p>
    <w:p>
      <w:pPr>
        <w:pStyle w:val="14"/>
        <w:rPr>
          <w:rFonts w:ascii="Calibri" w:hAnsi="Calibri"/>
          <w:szCs w:val="22"/>
        </w:rPr>
      </w:pPr>
      <w:r>
        <w:fldChar w:fldCharType="begin"/>
      </w:r>
      <w:r>
        <w:instrText xml:space="preserve"> HYPERLINK \l "_Toc20329368" </w:instrText>
      </w:r>
      <w:r>
        <w:fldChar w:fldCharType="separate"/>
      </w:r>
      <w:r>
        <w:rPr>
          <w:rStyle w:val="19"/>
        </w:rPr>
        <w:t>第二十一条：争议与裁决</w:t>
      </w:r>
      <w:r>
        <w:tab/>
      </w:r>
      <w:r>
        <w:fldChar w:fldCharType="begin"/>
      </w:r>
      <w:r>
        <w:instrText xml:space="preserve"> PAGEREF _Toc20329368 \h </w:instrText>
      </w:r>
      <w:r>
        <w:fldChar w:fldCharType="separate"/>
      </w:r>
      <w:r>
        <w:t>13</w:t>
      </w:r>
      <w:r>
        <w:fldChar w:fldCharType="end"/>
      </w:r>
      <w:r>
        <w:fldChar w:fldCharType="end"/>
      </w:r>
    </w:p>
    <w:p>
      <w:pPr>
        <w:pStyle w:val="14"/>
        <w:rPr>
          <w:rFonts w:ascii="Calibri" w:hAnsi="Calibri"/>
          <w:szCs w:val="22"/>
        </w:rPr>
      </w:pPr>
      <w:r>
        <w:fldChar w:fldCharType="begin"/>
      </w:r>
      <w:r>
        <w:instrText xml:space="preserve"> HYPERLINK \l "_Toc20329369" </w:instrText>
      </w:r>
      <w:r>
        <w:fldChar w:fldCharType="separate"/>
      </w:r>
      <w:r>
        <w:rPr>
          <w:rStyle w:val="19"/>
        </w:rPr>
        <w:t>第二十二条：未尽事宜</w:t>
      </w:r>
      <w:r>
        <w:tab/>
      </w:r>
      <w:r>
        <w:fldChar w:fldCharType="begin"/>
      </w:r>
      <w:r>
        <w:instrText xml:space="preserve"> PAGEREF _Toc20329369 \h </w:instrText>
      </w:r>
      <w:r>
        <w:fldChar w:fldCharType="separate"/>
      </w:r>
      <w:r>
        <w:t>14</w:t>
      </w:r>
      <w:r>
        <w:fldChar w:fldCharType="end"/>
      </w:r>
      <w:r>
        <w:fldChar w:fldCharType="end"/>
      </w:r>
    </w:p>
    <w:p>
      <w:pPr>
        <w:pStyle w:val="14"/>
        <w:rPr>
          <w:rFonts w:ascii="Calibri" w:hAnsi="Calibri"/>
          <w:szCs w:val="22"/>
        </w:rPr>
      </w:pPr>
      <w:r>
        <w:fldChar w:fldCharType="begin"/>
      </w:r>
      <w:r>
        <w:instrText xml:space="preserve"> HYPERLINK \l "_Toc20329370" </w:instrText>
      </w:r>
      <w:r>
        <w:fldChar w:fldCharType="separate"/>
      </w:r>
      <w:r>
        <w:rPr>
          <w:rStyle w:val="19"/>
        </w:rPr>
        <w:t>第二十三条：其它约定</w:t>
      </w:r>
      <w:r>
        <w:tab/>
      </w:r>
      <w:r>
        <w:fldChar w:fldCharType="begin"/>
      </w:r>
      <w:r>
        <w:instrText xml:space="preserve"> PAGEREF _Toc20329370 \h </w:instrText>
      </w:r>
      <w:r>
        <w:fldChar w:fldCharType="separate"/>
      </w:r>
      <w:r>
        <w:t>14</w:t>
      </w:r>
      <w:r>
        <w:fldChar w:fldCharType="end"/>
      </w:r>
      <w:r>
        <w:fldChar w:fldCharType="end"/>
      </w:r>
    </w:p>
    <w:p>
      <w:pPr>
        <w:rPr>
          <w:b/>
        </w:rPr>
      </w:pPr>
      <w:r>
        <w:rPr>
          <w:rFonts w:ascii="宋体" w:hAnsi="宋体"/>
          <w:b/>
          <w:szCs w:val="21"/>
        </w:rPr>
        <w:fldChar w:fldCharType="end"/>
      </w:r>
    </w:p>
    <w:p>
      <w:pPr>
        <w:topLinePunct/>
        <w:spacing w:before="100" w:beforeAutospacing="1" w:after="100" w:afterAutospacing="1" w:line="360" w:lineRule="auto"/>
        <w:contextualSpacing/>
        <w:rPr>
          <w:rFonts w:ascii="宋体" w:hAnsi="宋体" w:cs="宋体"/>
          <w:b/>
          <w:bCs/>
          <w:sz w:val="32"/>
          <w:szCs w:val="32"/>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p>
    <w:p>
      <w:pPr>
        <w:topLinePunct/>
        <w:spacing w:before="100" w:beforeAutospacing="1" w:after="100" w:afterAutospacing="1" w:line="360" w:lineRule="auto"/>
        <w:contextualSpacing/>
        <w:jc w:val="center"/>
        <w:rPr>
          <w:rFonts w:ascii="宋体" w:hAnsi="宋体" w:cs="宋体"/>
          <w:b/>
          <w:bCs/>
          <w:sz w:val="32"/>
          <w:szCs w:val="32"/>
        </w:rPr>
      </w:pPr>
      <w:r>
        <w:rPr>
          <w:rFonts w:hint="eastAsia" w:ascii="宋体" w:hAnsi="宋体" w:cs="宋体"/>
          <w:b/>
          <w:bCs/>
          <w:sz w:val="32"/>
          <w:szCs w:val="32"/>
        </w:rPr>
        <w:t>塔吊安拆分包合同</w:t>
      </w:r>
    </w:p>
    <w:p>
      <w:pPr>
        <w:topLinePunct/>
        <w:spacing w:before="100" w:beforeAutospacing="1" w:after="100" w:afterAutospacing="1" w:line="360" w:lineRule="auto"/>
        <w:contextualSpacing/>
        <w:jc w:val="center"/>
        <w:rPr>
          <w:rFonts w:ascii="宋体" w:hAnsi="宋体" w:cs="宋体"/>
          <w:b/>
          <w:bCs/>
          <w:sz w:val="32"/>
          <w:szCs w:val="32"/>
        </w:rPr>
      </w:pPr>
    </w:p>
    <w:p>
      <w:pPr>
        <w:spacing w:line="360" w:lineRule="auto"/>
        <w:rPr>
          <w:rFonts w:ascii="宋体" w:hAnsi="宋体"/>
          <w:szCs w:val="21"/>
        </w:rPr>
      </w:pPr>
      <w:r>
        <w:rPr>
          <w:rFonts w:hint="eastAsia" w:ascii="宋体" w:hAnsi="宋体" w:cs="宋体"/>
          <w:szCs w:val="21"/>
        </w:rPr>
        <w:t>总包方（甲方）：</w:t>
      </w:r>
      <w:r>
        <w:rPr>
          <w:rFonts w:hint="eastAsia" w:ascii="宋体" w:hAnsi="宋体"/>
          <w:szCs w:val="21"/>
        </w:rPr>
        <w:t xml:space="preserve">中国建筑一局（集团）有限公司 </w:t>
      </w:r>
    </w:p>
    <w:p>
      <w:pPr>
        <w:spacing w:line="360" w:lineRule="auto"/>
        <w:rPr>
          <w:rFonts w:ascii="宋体" w:hAnsi="宋体" w:cs="宋体"/>
          <w:szCs w:val="21"/>
        </w:rPr>
      </w:pPr>
      <w:r>
        <w:rPr>
          <w:rFonts w:hint="eastAsia" w:ascii="宋体" w:hAnsi="宋体" w:cs="宋体"/>
          <w:szCs w:val="21"/>
        </w:rPr>
        <w:t>分包方（乙方</w:t>
      </w:r>
      <w:r>
        <w:rPr>
          <w:rFonts w:ascii="宋体" w:hAnsi="宋体" w:cs="宋体"/>
          <w:szCs w:val="21"/>
        </w:rPr>
        <w:t>）</w:t>
      </w:r>
      <w:r>
        <w:rPr>
          <w:rFonts w:hint="eastAsia" w:ascii="宋体" w:hAnsi="宋体" w:cs="宋体"/>
          <w:szCs w:val="21"/>
        </w:rPr>
        <w:t xml:space="preserve">：                                       </w:t>
      </w:r>
    </w:p>
    <w:p>
      <w:pPr>
        <w:spacing w:line="360" w:lineRule="auto"/>
        <w:ind w:firstLine="525" w:firstLineChars="250"/>
        <w:rPr>
          <w:rFonts w:ascii="宋体" w:hAnsi="宋体" w:cs="宋体"/>
          <w:szCs w:val="21"/>
        </w:rPr>
      </w:pPr>
      <w:r>
        <w:rPr>
          <w:rFonts w:hint="eastAsia" w:ascii="宋体" w:hAnsi="宋体" w:cs="宋体"/>
          <w:szCs w:val="21"/>
        </w:rPr>
        <w:t>根据《中华人民共和国合同法》、《中华人民共和国建筑法》、《建设工程质量管理条例》、《房屋建筑工程质量保修办法》及其他有关法律、行政法规，遵循平等、自愿、公平和诚实信用的原则，双方就</w:t>
      </w:r>
      <w:r>
        <w:rPr>
          <w:rFonts w:hint="eastAsia" w:ascii="宋体" w:hAnsi="宋体" w:cs="宋体"/>
          <w:szCs w:val="21"/>
          <w:u w:val="single"/>
        </w:rPr>
        <w:t xml:space="preserve"> </w:t>
      </w:r>
      <w:r>
        <w:rPr>
          <w:rFonts w:hint="eastAsia" w:ascii="宋体" w:hAnsi="宋体" w:cs="宋体"/>
          <w:szCs w:val="21"/>
          <w:u w:val="single"/>
          <w:lang w:val="en-US" w:eastAsia="zh-CN"/>
        </w:rPr>
        <w:t xml:space="preserve">甜水湾花园小区一期 </w:t>
      </w:r>
      <w:r>
        <w:rPr>
          <w:rFonts w:hint="eastAsia" w:ascii="宋体" w:hAnsi="宋体" w:cs="宋体"/>
          <w:szCs w:val="21"/>
          <w:u w:val="single"/>
        </w:rPr>
        <w:t>工程</w:t>
      </w:r>
      <w:r>
        <w:rPr>
          <w:rFonts w:hint="eastAsia"/>
        </w:rPr>
        <w:t>（必须与在当地备案名称一致，也须与发票上备注工程名称一致）</w:t>
      </w:r>
      <w:r>
        <w:rPr>
          <w:rFonts w:hint="eastAsia"/>
          <w:u w:val="single"/>
        </w:rPr>
        <w:t xml:space="preserve"> </w:t>
      </w:r>
      <w:r>
        <w:rPr>
          <w:rFonts w:hint="eastAsia"/>
          <w:u w:val="single"/>
          <w:lang w:val="en-US" w:eastAsia="zh-CN"/>
        </w:rPr>
        <w:t>2#</w:t>
      </w:r>
      <w:r>
        <w:rPr>
          <w:rFonts w:hint="eastAsia"/>
          <w:u w:val="single"/>
        </w:rPr>
        <w:t>塔吊安拆</w:t>
      </w:r>
      <w:r>
        <w:rPr>
          <w:rFonts w:hint="eastAsia" w:ascii="宋体" w:hAnsi="宋体" w:cs="宋体"/>
          <w:szCs w:val="21"/>
        </w:rPr>
        <w:t>施工事宜达成如下协议：</w:t>
      </w:r>
      <w:bookmarkStart w:id="0" w:name="_Toc22368231"/>
    </w:p>
    <w:p>
      <w:pPr>
        <w:pStyle w:val="2"/>
        <w:spacing w:before="12" w:beforeLines="4" w:after="12" w:afterLines="4" w:line="360" w:lineRule="auto"/>
      </w:pPr>
      <w:bookmarkStart w:id="1" w:name="_Toc20329348"/>
      <w:r>
        <w:rPr>
          <w:rFonts w:hint="eastAsia"/>
        </w:rPr>
        <w:t>第一条：工程概况</w:t>
      </w:r>
      <w:bookmarkEnd w:id="0"/>
      <w:bookmarkEnd w:id="1"/>
    </w:p>
    <w:p>
      <w:pPr>
        <w:pStyle w:val="20"/>
        <w:numPr>
          <w:ilvl w:val="0"/>
          <w:numId w:val="1"/>
        </w:numPr>
        <w:spacing w:line="360" w:lineRule="auto"/>
        <w:ind w:firstLineChars="0"/>
        <w:rPr>
          <w:rFonts w:hint="eastAsia" w:ascii="宋体" w:hAnsi="宋体" w:cs="宋体"/>
          <w:color w:val="0000FF"/>
          <w:szCs w:val="21"/>
          <w:u w:val="none"/>
          <w:lang w:val="en-US" w:eastAsia="zh-CN"/>
        </w:rPr>
      </w:pPr>
      <w:bookmarkStart w:id="2" w:name="_Toc22368232"/>
      <w:r>
        <w:rPr>
          <w:rFonts w:hint="eastAsia" w:ascii="宋体" w:hAnsi="宋体" w:cs="宋体"/>
          <w:color w:val="0000FF"/>
          <w:szCs w:val="21"/>
          <w:u w:val="none"/>
        </w:rPr>
        <w:t>工程名称：</w:t>
      </w:r>
      <w:r>
        <w:rPr>
          <w:rFonts w:hint="eastAsia" w:ascii="宋体" w:hAnsi="宋体" w:cs="宋体"/>
          <w:color w:val="0000FF"/>
          <w:szCs w:val="21"/>
          <w:u w:val="none"/>
          <w:lang w:val="en-US" w:eastAsia="zh-CN"/>
        </w:rPr>
        <w:t>甜水湾花园小区一期工程</w:t>
      </w:r>
    </w:p>
    <w:p>
      <w:pPr>
        <w:pStyle w:val="20"/>
        <w:numPr>
          <w:ilvl w:val="0"/>
          <w:numId w:val="1"/>
        </w:numPr>
        <w:spacing w:line="360" w:lineRule="auto"/>
        <w:ind w:firstLineChars="0"/>
        <w:rPr>
          <w:rFonts w:ascii="宋体" w:hAnsi="宋体" w:cs="宋体"/>
          <w:color w:val="0000FF"/>
          <w:kern w:val="16"/>
          <w:szCs w:val="21"/>
          <w:u w:val="none"/>
        </w:rPr>
      </w:pPr>
      <w:r>
        <w:rPr>
          <w:rFonts w:hint="eastAsia" w:ascii="宋体" w:hAnsi="宋体" w:cs="宋体"/>
          <w:color w:val="0000FF"/>
          <w:szCs w:val="21"/>
          <w:u w:val="none"/>
        </w:rPr>
        <w:t>工程地点：天津市</w:t>
      </w:r>
      <w:r>
        <w:rPr>
          <w:rFonts w:hint="eastAsia" w:ascii="宋体" w:hAnsi="宋体" w:cs="宋体"/>
          <w:color w:val="0000FF"/>
          <w:szCs w:val="21"/>
          <w:u w:val="none"/>
          <w:lang w:val="en-US" w:eastAsia="zh-CN"/>
        </w:rPr>
        <w:t>宝坻区京津新城内</w:t>
      </w:r>
      <w:r>
        <w:rPr>
          <w:rFonts w:hint="eastAsia" w:ascii="宋体" w:hAnsi="宋体" w:cs="宋体"/>
          <w:color w:val="0000FF"/>
          <w:szCs w:val="21"/>
          <w:u w:val="none"/>
        </w:rPr>
        <w:t xml:space="preserve"> </w:t>
      </w:r>
    </w:p>
    <w:p>
      <w:pPr>
        <w:pStyle w:val="20"/>
        <w:numPr>
          <w:ilvl w:val="0"/>
          <w:numId w:val="1"/>
        </w:numPr>
        <w:spacing w:line="360" w:lineRule="auto"/>
        <w:ind w:firstLineChars="0"/>
        <w:rPr>
          <w:rFonts w:ascii="宋体" w:hAnsi="宋体" w:cs="宋体"/>
          <w:color w:val="0000FF"/>
          <w:kern w:val="16"/>
          <w:szCs w:val="21"/>
          <w:u w:val="none"/>
        </w:rPr>
      </w:pPr>
      <w:r>
        <w:rPr>
          <w:rFonts w:hint="eastAsia" w:ascii="宋体" w:hAnsi="宋体" w:cs="宋体"/>
          <w:color w:val="0000FF"/>
          <w:szCs w:val="21"/>
          <w:u w:val="none"/>
        </w:rPr>
        <w:t>建筑面积：建筑面积</w:t>
      </w:r>
      <w:r>
        <w:rPr>
          <w:rFonts w:hint="eastAsia" w:ascii="宋体" w:hAnsi="宋体" w:cs="宋体"/>
          <w:color w:val="0000FF"/>
          <w:szCs w:val="21"/>
          <w:u w:val="none"/>
          <w:lang w:val="en-US" w:eastAsia="zh-CN"/>
        </w:rPr>
        <w:t>82818.98</w:t>
      </w:r>
      <w:r>
        <w:rPr>
          <w:rFonts w:hint="eastAsia" w:ascii="宋体" w:hAnsi="宋体" w:cs="宋体"/>
          <w:color w:val="0000FF"/>
          <w:szCs w:val="21"/>
          <w:u w:val="none"/>
        </w:rPr>
        <w:t xml:space="preserve">平方米 </w:t>
      </w:r>
    </w:p>
    <w:p>
      <w:pPr>
        <w:pStyle w:val="20"/>
        <w:numPr>
          <w:ilvl w:val="0"/>
          <w:numId w:val="1"/>
        </w:numPr>
        <w:spacing w:line="360" w:lineRule="auto"/>
        <w:ind w:firstLineChars="0"/>
        <w:rPr>
          <w:rFonts w:ascii="宋体" w:hAnsi="宋体" w:cs="宋体"/>
          <w:kern w:val="16"/>
          <w:szCs w:val="21"/>
        </w:rPr>
      </w:pPr>
      <w:r>
        <w:rPr>
          <w:rFonts w:hint="eastAsia" w:ascii="宋体" w:hAnsi="宋体" w:cs="宋体"/>
          <w:color w:val="0000FF"/>
          <w:szCs w:val="21"/>
          <w:u w:val="none"/>
        </w:rPr>
        <w:t xml:space="preserve">结构形式： </w:t>
      </w:r>
      <w:r>
        <w:rPr>
          <w:rFonts w:hint="eastAsia" w:ascii="宋体" w:hAnsi="宋体" w:eastAsia="宋体"/>
          <w:color w:val="0000FF"/>
          <w:w w:val="90"/>
          <w:sz w:val="21"/>
          <w:szCs w:val="22"/>
          <w:u w:val="none"/>
          <w:lang w:val="en-US" w:eastAsia="zh-CN"/>
        </w:rPr>
        <w:t>剪力墙</w:t>
      </w:r>
      <w:r>
        <w:rPr>
          <w:rFonts w:hint="eastAsia" w:ascii="宋体" w:hAnsi="宋体" w:cs="宋体"/>
          <w:color w:val="0000FF"/>
          <w:szCs w:val="21"/>
          <w:u w:val="none"/>
        </w:rPr>
        <w:t xml:space="preserve">  </w:t>
      </w:r>
      <w:r>
        <w:rPr>
          <w:rFonts w:hint="eastAsia" w:ascii="宋体" w:hAnsi="宋体" w:cs="宋体"/>
          <w:szCs w:val="21"/>
          <w:u w:val="none"/>
        </w:rPr>
        <w:t xml:space="preserve">   </w:t>
      </w:r>
      <w:r>
        <w:rPr>
          <w:rFonts w:hint="eastAsia" w:ascii="宋体" w:hAnsi="宋体" w:cs="宋体"/>
          <w:szCs w:val="21"/>
        </w:rPr>
        <w:t xml:space="preserve">                            </w:t>
      </w:r>
    </w:p>
    <w:p>
      <w:pPr>
        <w:pStyle w:val="2"/>
        <w:spacing w:before="12" w:beforeLines="4" w:after="12" w:afterLines="4" w:line="360" w:lineRule="auto"/>
      </w:pPr>
      <w:bookmarkStart w:id="3" w:name="_Toc20329349"/>
      <w:r>
        <w:rPr>
          <w:rFonts w:hint="eastAsia"/>
        </w:rPr>
        <w:t>第二条：分包范围</w:t>
      </w:r>
      <w:bookmarkEnd w:id="2"/>
      <w:bookmarkEnd w:id="3"/>
    </w:p>
    <w:p>
      <w:pPr>
        <w:pStyle w:val="20"/>
        <w:spacing w:line="360" w:lineRule="auto"/>
        <w:ind w:firstLine="0" w:firstLineChars="0"/>
        <w:rPr>
          <w:rFonts w:ascii="宋体" w:hAnsi="宋体" w:cs="宋体"/>
          <w:szCs w:val="21"/>
        </w:rPr>
      </w:pPr>
      <w:r>
        <w:rPr>
          <w:rFonts w:hint="eastAsia" w:ascii="宋体" w:hAnsi="宋体" w:cs="宋体"/>
          <w:szCs w:val="21"/>
        </w:rPr>
        <w:t>1.  塔吊安装、附着、顶升、拆除，包括行走式塔吊枕木及轨道安装/固定式基础的预埋角钢、预埋节的就位及调整，包括上述承包范围的日常维护。</w:t>
      </w:r>
    </w:p>
    <w:p>
      <w:pPr>
        <w:pStyle w:val="2"/>
        <w:spacing w:before="12" w:beforeLines="4" w:after="12" w:afterLines="4" w:line="360" w:lineRule="auto"/>
      </w:pPr>
      <w:bookmarkStart w:id="4" w:name="_Toc22368233"/>
      <w:bookmarkStart w:id="5" w:name="_Toc20329350"/>
      <w:r>
        <w:rPr>
          <w:rFonts w:hint="eastAsia"/>
        </w:rPr>
        <w:t>第三条：承包方式</w:t>
      </w:r>
      <w:bookmarkEnd w:id="4"/>
      <w:bookmarkEnd w:id="5"/>
    </w:p>
    <w:p>
      <w:pPr>
        <w:pStyle w:val="20"/>
        <w:spacing w:line="360" w:lineRule="auto"/>
        <w:ind w:firstLine="0" w:firstLineChars="0"/>
        <w:rPr>
          <w:rFonts w:ascii="宋体" w:hAnsi="宋体" w:cs="宋体"/>
          <w:szCs w:val="21"/>
        </w:rPr>
      </w:pPr>
      <w:bookmarkStart w:id="6" w:name="_Toc22368234"/>
      <w:r>
        <w:rPr>
          <w:rFonts w:hint="eastAsia" w:ascii="宋体" w:hAnsi="宋体" w:cs="宋体"/>
          <w:szCs w:val="21"/>
        </w:rPr>
        <w:t>工程承包方式为塔吊安拆专业施工承包，乙方须提供安拆资质证书。</w:t>
      </w:r>
    </w:p>
    <w:p>
      <w:pPr>
        <w:pStyle w:val="2"/>
        <w:spacing w:before="12" w:beforeLines="4" w:after="12" w:afterLines="4" w:line="360" w:lineRule="auto"/>
        <w:rPr>
          <w:color w:val="FF0000"/>
        </w:rPr>
      </w:pPr>
      <w:bookmarkStart w:id="7" w:name="_Toc20329351"/>
      <w:r>
        <w:rPr>
          <w:rFonts w:hint="eastAsia"/>
          <w:color w:val="FF0000"/>
        </w:rPr>
        <w:t>第四条：乙方身份类别</w:t>
      </w:r>
      <w:bookmarkEnd w:id="7"/>
    </w:p>
    <w:p>
      <w:pPr>
        <w:pStyle w:val="20"/>
        <w:numPr>
          <w:ilvl w:val="0"/>
          <w:numId w:val="2"/>
        </w:numPr>
        <w:spacing w:line="360" w:lineRule="auto"/>
        <w:ind w:firstLineChars="0"/>
        <w:rPr>
          <w:rFonts w:ascii="宋体" w:hAnsi="宋体" w:cs="宋体"/>
          <w:szCs w:val="21"/>
        </w:rPr>
      </w:pPr>
      <w:r>
        <w:rPr>
          <w:rFonts w:hint="eastAsia" w:ascii="宋体" w:hAnsi="宋体" w:cs="宋体"/>
          <w:szCs w:val="21"/>
        </w:rPr>
        <w:t>乙方属于</w:t>
      </w:r>
      <w:r>
        <w:rPr>
          <w:rFonts w:hint="eastAsia" w:ascii="宋体" w:hAnsi="宋体" w:cs="宋体"/>
          <w:szCs w:val="21"/>
          <w:lang w:val="en-US" w:eastAsia="zh-CN"/>
        </w:rPr>
        <w:t>√</w:t>
      </w:r>
      <w:r>
        <w:rPr>
          <w:rFonts w:ascii="宋体" w:hAnsi="宋体" w:cs="宋体"/>
          <w:szCs w:val="21"/>
        </w:rPr>
        <w:t>一般纳税人</w:t>
      </w:r>
      <w:r>
        <w:rPr>
          <w:rFonts w:hint="eastAsia" w:ascii="宋体" w:hAnsi="宋体" w:cs="宋体"/>
          <w:szCs w:val="21"/>
        </w:rPr>
        <w:t>○</w:t>
      </w:r>
      <w:r>
        <w:rPr>
          <w:rFonts w:ascii="宋体" w:hAnsi="宋体" w:cs="宋体"/>
          <w:szCs w:val="21"/>
        </w:rPr>
        <w:t>小规模纳税人</w:t>
      </w:r>
      <w:r>
        <w:rPr>
          <w:rFonts w:hint="eastAsia" w:ascii="宋体" w:hAnsi="宋体" w:cs="宋体"/>
          <w:szCs w:val="21"/>
        </w:rPr>
        <w:t>○</w:t>
      </w:r>
      <w:r>
        <w:rPr>
          <w:rFonts w:ascii="宋体" w:hAnsi="宋体" w:cs="宋体"/>
          <w:szCs w:val="21"/>
        </w:rPr>
        <w:t>其他</w:t>
      </w:r>
    </w:p>
    <w:p>
      <w:pPr>
        <w:pStyle w:val="20"/>
        <w:numPr>
          <w:ilvl w:val="0"/>
          <w:numId w:val="2"/>
        </w:numPr>
        <w:spacing w:line="360" w:lineRule="auto"/>
        <w:ind w:firstLineChars="0"/>
        <w:rPr>
          <w:rFonts w:ascii="宋体" w:hAnsi="宋体" w:cs="宋体"/>
          <w:szCs w:val="21"/>
        </w:rPr>
      </w:pPr>
      <w:r>
        <w:rPr>
          <w:rFonts w:ascii="宋体" w:hAnsi="宋体" w:cs="宋体"/>
          <w:szCs w:val="21"/>
        </w:rPr>
        <w:t>乙方</w:t>
      </w:r>
      <w:r>
        <w:rPr>
          <w:rFonts w:hint="eastAsia" w:ascii="宋体" w:hAnsi="宋体" w:cs="宋体"/>
          <w:szCs w:val="21"/>
        </w:rPr>
        <w:t>适用税率</w:t>
      </w:r>
      <w:r>
        <w:rPr>
          <w:rFonts w:hint="eastAsia" w:ascii="宋体" w:hAnsi="宋体" w:cs="宋体"/>
          <w:szCs w:val="21"/>
          <w:lang w:val="en-US" w:eastAsia="zh-CN"/>
        </w:rPr>
        <w:t>√</w:t>
      </w:r>
      <w:r>
        <w:rPr>
          <w:rFonts w:hint="eastAsia" w:ascii="宋体" w:hAnsi="宋体" w:cs="宋体"/>
          <w:szCs w:val="21"/>
        </w:rPr>
        <w:t>3%    ○6%    ○</w:t>
      </w:r>
      <w:r>
        <w:rPr>
          <w:rFonts w:hint="eastAsia" w:ascii="宋体" w:hAnsi="宋体" w:cs="宋体"/>
          <w:szCs w:val="21"/>
          <w:lang w:val="en-US" w:eastAsia="zh-CN"/>
        </w:rPr>
        <w:t>9</w:t>
      </w:r>
      <w:r>
        <w:rPr>
          <w:rFonts w:hint="eastAsia" w:ascii="宋体" w:hAnsi="宋体" w:cs="宋体"/>
          <w:szCs w:val="21"/>
        </w:rPr>
        <w:t>%    ○1</w:t>
      </w:r>
      <w:r>
        <w:rPr>
          <w:rFonts w:hint="eastAsia" w:ascii="宋体" w:hAnsi="宋体" w:cs="宋体"/>
          <w:szCs w:val="21"/>
          <w:lang w:val="en-US" w:eastAsia="zh-CN"/>
        </w:rPr>
        <w:t>3</w:t>
      </w:r>
      <w:r>
        <w:rPr>
          <w:rFonts w:hint="eastAsia" w:ascii="宋体" w:hAnsi="宋体" w:cs="宋体"/>
          <w:szCs w:val="21"/>
        </w:rPr>
        <w:t>%</w:t>
      </w:r>
    </w:p>
    <w:p>
      <w:pPr>
        <w:pStyle w:val="20"/>
        <w:numPr>
          <w:ilvl w:val="0"/>
          <w:numId w:val="2"/>
        </w:numPr>
        <w:spacing w:line="360" w:lineRule="auto"/>
        <w:ind w:firstLineChars="0"/>
        <w:rPr>
          <w:rFonts w:ascii="宋体" w:hAnsi="宋体" w:cs="宋体"/>
          <w:szCs w:val="21"/>
        </w:rPr>
      </w:pPr>
      <w:r>
        <w:rPr>
          <w:rFonts w:ascii="宋体" w:hAnsi="宋体" w:cs="宋体"/>
          <w:szCs w:val="21"/>
        </w:rPr>
        <w:t>乙方应向甲方提供</w:t>
      </w:r>
      <w:r>
        <w:rPr>
          <w:rFonts w:hint="eastAsia" w:ascii="宋体" w:hAnsi="宋体" w:cs="宋体"/>
          <w:szCs w:val="21"/>
        </w:rPr>
        <w:t>适</w:t>
      </w:r>
      <w:r>
        <w:rPr>
          <w:rFonts w:ascii="宋体" w:hAnsi="宋体" w:cs="宋体"/>
          <w:szCs w:val="21"/>
        </w:rPr>
        <w:t>用税率</w:t>
      </w:r>
      <w:r>
        <w:rPr>
          <w:rFonts w:hint="eastAsia" w:ascii="宋体" w:hAnsi="宋体" w:cs="宋体"/>
          <w:szCs w:val="21"/>
        </w:rPr>
        <w:t>/征收</w:t>
      </w:r>
      <w:r>
        <w:rPr>
          <w:rFonts w:ascii="宋体" w:hAnsi="宋体" w:cs="宋体"/>
          <w:szCs w:val="21"/>
        </w:rPr>
        <w:t>率为</w:t>
      </w:r>
      <w:r>
        <w:rPr>
          <w:rFonts w:hint="eastAsia" w:ascii="宋体" w:hAnsi="宋体" w:cs="宋体"/>
          <w:szCs w:val="21"/>
          <w:lang w:val="en-US" w:eastAsia="zh-CN"/>
        </w:rPr>
        <w:t>3</w:t>
      </w:r>
      <w:r>
        <w:rPr>
          <w:rFonts w:ascii="宋体" w:hAnsi="宋体" w:cs="宋体"/>
          <w:szCs w:val="21"/>
        </w:rPr>
        <w:t>%的</w:t>
      </w:r>
      <w:r>
        <w:rPr>
          <w:rFonts w:hint="eastAsia" w:ascii="宋体" w:hAnsi="宋体" w:cs="宋体"/>
          <w:szCs w:val="21"/>
        </w:rPr>
        <w:t>合规</w:t>
      </w:r>
      <w:r>
        <w:rPr>
          <w:rFonts w:ascii="宋体" w:hAnsi="宋体" w:cs="宋体"/>
          <w:szCs w:val="21"/>
        </w:rPr>
        <w:t>增值税专用发票（包含税务机关代开），并准确填写发票项目</w:t>
      </w:r>
      <w:r>
        <w:rPr>
          <w:rFonts w:hint="eastAsia" w:ascii="宋体" w:hAnsi="宋体" w:cs="宋体"/>
          <w:szCs w:val="21"/>
        </w:rPr>
        <w:t>，</w:t>
      </w:r>
      <w:r>
        <w:rPr>
          <w:rFonts w:ascii="宋体" w:hAnsi="宋体" w:cs="宋体"/>
          <w:szCs w:val="21"/>
        </w:rPr>
        <w:t>发票备注必须注明</w:t>
      </w:r>
      <w:r>
        <w:rPr>
          <w:rFonts w:hint="eastAsia" w:ascii="宋体" w:hAnsi="宋体" w:cs="宋体"/>
          <w:szCs w:val="21"/>
        </w:rPr>
        <w:t>建筑服务发生地所在县（市、区）、项目名称（项目名称为当地政府备案名称）</w:t>
      </w:r>
      <w:r>
        <w:rPr>
          <w:rFonts w:ascii="宋体" w:hAnsi="宋体" w:cs="宋体"/>
          <w:szCs w:val="21"/>
        </w:rPr>
        <w:t>。</w:t>
      </w:r>
      <w:r>
        <w:rPr>
          <w:rFonts w:hint="eastAsia" w:ascii="宋体" w:hAnsi="宋体" w:cs="宋体"/>
          <w:szCs w:val="21"/>
        </w:rPr>
        <w:t>乙方在给甲方提供发票时，应</w:t>
      </w:r>
      <w:r>
        <w:rPr>
          <w:rFonts w:ascii="宋体" w:hAnsi="宋体" w:cs="宋体"/>
          <w:szCs w:val="21"/>
        </w:rPr>
        <w:t>提供项目所在地备案建筑服务</w:t>
      </w:r>
      <w:r>
        <w:rPr>
          <w:rFonts w:hint="eastAsia" w:ascii="宋体" w:hAnsi="宋体" w:cs="宋体"/>
          <w:szCs w:val="21"/>
        </w:rPr>
        <w:t>、</w:t>
      </w:r>
      <w:r>
        <w:rPr>
          <w:rFonts w:ascii="宋体" w:hAnsi="宋体" w:cs="宋体"/>
          <w:szCs w:val="21"/>
        </w:rPr>
        <w:t>当地预缴税款等相关资料</w:t>
      </w:r>
      <w:r>
        <w:rPr>
          <w:rFonts w:hint="eastAsia" w:ascii="宋体" w:hAnsi="宋体" w:cs="宋体"/>
          <w:szCs w:val="21"/>
        </w:rPr>
        <w:t>，否则甲方将不予付款。因乙方发票问题（包括开错、假发票、未及时提交甲方）</w:t>
      </w:r>
      <w:r>
        <w:rPr>
          <w:rFonts w:ascii="宋体" w:hAnsi="宋体" w:cs="宋体"/>
          <w:szCs w:val="21"/>
        </w:rPr>
        <w:t>，造成甲方增值税抵扣税额损失</w:t>
      </w:r>
      <w:r>
        <w:rPr>
          <w:rFonts w:hint="eastAsia" w:ascii="宋体" w:hAnsi="宋体" w:cs="宋体"/>
          <w:szCs w:val="21"/>
        </w:rPr>
        <w:t>的</w:t>
      </w:r>
      <w:r>
        <w:rPr>
          <w:rFonts w:ascii="宋体" w:hAnsi="宋体" w:cs="宋体"/>
          <w:szCs w:val="21"/>
        </w:rPr>
        <w:t>，由乙方全额进行赔偿。</w:t>
      </w:r>
    </w:p>
    <w:p>
      <w:pPr>
        <w:pStyle w:val="2"/>
        <w:spacing w:before="12" w:beforeLines="4" w:after="12" w:afterLines="4" w:line="360" w:lineRule="auto"/>
        <w:rPr>
          <w:rFonts w:hint="eastAsia"/>
        </w:rPr>
      </w:pPr>
      <w:bookmarkStart w:id="8" w:name="_Toc20329352"/>
      <w:r>
        <w:rPr>
          <w:rFonts w:hint="eastAsia"/>
        </w:rPr>
        <w:t>第五条：</w:t>
      </w:r>
      <w:bookmarkEnd w:id="6"/>
      <w:r>
        <w:rPr>
          <w:rFonts w:hint="eastAsia"/>
        </w:rPr>
        <w:t>安拆设备概况</w:t>
      </w:r>
      <w:bookmarkEnd w:id="8"/>
    </w:p>
    <w:p>
      <w:pPr>
        <w:rPr>
          <w:rFonts w:hint="eastAsia"/>
        </w:rPr>
      </w:pPr>
    </w:p>
    <w:tbl>
      <w:tblPr>
        <w:tblStyle w:val="17"/>
        <w:tblW w:w="4998" w:type="pct"/>
        <w:tblInd w:w="0" w:type="dxa"/>
        <w:shd w:val="clear" w:color="auto" w:fill="auto"/>
        <w:tblLayout w:type="autofit"/>
        <w:tblCellMar>
          <w:top w:w="0" w:type="dxa"/>
          <w:left w:w="0" w:type="dxa"/>
          <w:bottom w:w="0" w:type="dxa"/>
          <w:right w:w="0" w:type="dxa"/>
        </w:tblCellMar>
      </w:tblPr>
      <w:tblGrid>
        <w:gridCol w:w="844"/>
        <w:gridCol w:w="844"/>
        <w:gridCol w:w="1350"/>
        <w:gridCol w:w="837"/>
        <w:gridCol w:w="844"/>
        <w:gridCol w:w="1080"/>
        <w:gridCol w:w="844"/>
        <w:gridCol w:w="845"/>
        <w:gridCol w:w="845"/>
      </w:tblGrid>
      <w:tr>
        <w:tblPrEx>
          <w:tblCellMar>
            <w:top w:w="0" w:type="dxa"/>
            <w:left w:w="0" w:type="dxa"/>
            <w:bottom w:w="0" w:type="dxa"/>
            <w:right w:w="0" w:type="dxa"/>
          </w:tblCellMar>
        </w:tblPrEx>
        <w:trPr>
          <w:trHeight w:val="357" w:hRule="atLeast"/>
        </w:trPr>
        <w:tc>
          <w:tcPr>
            <w:tcW w:w="506" w:type="pct"/>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506"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w:t>
            </w:r>
          </w:p>
        </w:tc>
        <w:tc>
          <w:tcPr>
            <w:tcW w:w="810"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型号</w:t>
            </w:r>
          </w:p>
        </w:tc>
        <w:tc>
          <w:tcPr>
            <w:tcW w:w="502"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506"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臂长</w:t>
            </w:r>
          </w:p>
        </w:tc>
        <w:tc>
          <w:tcPr>
            <w:tcW w:w="648"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生产年份</w:t>
            </w:r>
          </w:p>
        </w:tc>
        <w:tc>
          <w:tcPr>
            <w:tcW w:w="506"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最大自由高度（M）</w:t>
            </w:r>
          </w:p>
        </w:tc>
        <w:tc>
          <w:tcPr>
            <w:tcW w:w="507" w:type="pct"/>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最大安装高度（M）</w:t>
            </w:r>
          </w:p>
        </w:tc>
        <w:tc>
          <w:tcPr>
            <w:tcW w:w="507" w:type="pct"/>
            <w:vMerge w:val="restart"/>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285" w:hRule="atLeast"/>
        </w:trPr>
        <w:tc>
          <w:tcPr>
            <w:tcW w:w="506" w:type="pct"/>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810"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02"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06"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8"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06"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07" w:type="pct"/>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07" w:type="pct"/>
            <w:vMerge w:val="continue"/>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84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塔吊2#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QTZ63（活动基础型）</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2018/9/10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40</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140</w:t>
            </w:r>
          </w:p>
        </w:tc>
        <w:tc>
          <w:tcPr>
            <w:tcW w:w="84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pStyle w:val="2"/>
        <w:spacing w:before="12" w:beforeLines="4" w:after="12" w:afterLines="4" w:line="360" w:lineRule="auto"/>
      </w:pPr>
    </w:p>
    <w:p>
      <w:pPr>
        <w:spacing w:before="156" w:beforeLines="50" w:after="156" w:afterLines="50" w:line="360" w:lineRule="exact"/>
        <w:rPr>
          <w:rFonts w:ascii="宋体" w:hAnsi="宋体" w:cs="宋体"/>
          <w:color w:val="000000"/>
          <w:szCs w:val="21"/>
        </w:rPr>
      </w:pPr>
      <w:r>
        <w:rPr>
          <w:rFonts w:hint="eastAsia" w:ascii="宋体" w:hAnsi="宋体" w:cs="宋体"/>
          <w:color w:val="000000"/>
          <w:szCs w:val="21"/>
        </w:rPr>
        <w:t>说明：基础形式指固定式或行走式；</w:t>
      </w:r>
    </w:p>
    <w:p>
      <w:pPr>
        <w:spacing w:before="156" w:beforeLines="50" w:after="156" w:afterLines="50" w:line="360" w:lineRule="exact"/>
        <w:ind w:firstLine="735" w:firstLineChars="350"/>
        <w:rPr>
          <w:rFonts w:ascii="宋体" w:hAnsi="宋体" w:cs="宋体"/>
          <w:color w:val="000000"/>
          <w:szCs w:val="21"/>
        </w:rPr>
      </w:pPr>
      <w:r>
        <w:rPr>
          <w:rFonts w:hint="eastAsia" w:ascii="宋体" w:hAnsi="宋体" w:cs="宋体"/>
          <w:color w:val="000000"/>
          <w:szCs w:val="21"/>
        </w:rPr>
        <w:t>最大自由高度、最大安装高度均指从塔吊基础表面到吊钩钩体中心的垂直距离。</w:t>
      </w:r>
    </w:p>
    <w:p>
      <w:pPr>
        <w:pStyle w:val="2"/>
        <w:spacing w:before="12" w:beforeLines="4" w:after="12" w:afterLines="4" w:line="360" w:lineRule="auto"/>
      </w:pPr>
      <w:bookmarkStart w:id="9" w:name="_Toc20329353"/>
      <w:bookmarkStart w:id="10" w:name="_Toc22368235"/>
      <w:r>
        <w:rPr>
          <w:rFonts w:hint="eastAsia"/>
        </w:rPr>
        <w:t>第六条：价款与计量</w:t>
      </w:r>
      <w:bookmarkEnd w:id="9"/>
      <w:bookmarkEnd w:id="10"/>
    </w:p>
    <w:p>
      <w:pPr>
        <w:pStyle w:val="20"/>
        <w:numPr>
          <w:ilvl w:val="0"/>
          <w:numId w:val="3"/>
        </w:numPr>
        <w:spacing w:line="360" w:lineRule="auto"/>
        <w:ind w:firstLineChars="0"/>
        <w:rPr>
          <w:rFonts w:ascii="宋体" w:hAnsi="宋体" w:cs="宋体"/>
          <w:szCs w:val="21"/>
        </w:rPr>
      </w:pPr>
      <w:r>
        <w:rPr>
          <w:rFonts w:hint="eastAsia" w:ascii="宋体" w:hAnsi="宋体" w:cs="宋体"/>
          <w:szCs w:val="21"/>
        </w:rPr>
        <w:t xml:space="preserve">合同清单： </w:t>
      </w:r>
    </w:p>
    <w:p>
      <w:pPr>
        <w:pStyle w:val="20"/>
        <w:numPr>
          <w:ilvl w:val="0"/>
          <w:numId w:val="3"/>
        </w:numPr>
        <w:spacing w:line="360" w:lineRule="auto"/>
        <w:ind w:firstLineChars="0"/>
        <w:rPr>
          <w:rFonts w:ascii="宋体" w:hAnsi="宋体" w:cs="宋体"/>
          <w:szCs w:val="21"/>
        </w:rPr>
      </w:pPr>
      <w:r>
        <w:rPr>
          <w:rFonts w:hint="eastAsia" w:ascii="宋体" w:hAnsi="宋体" w:cs="宋体"/>
          <w:szCs w:val="21"/>
        </w:rPr>
        <w:t>合同价款：本合同暂定含税总价：元（人民币大写：），</w:t>
      </w:r>
    </w:p>
    <w:p>
      <w:pPr>
        <w:spacing w:line="360" w:lineRule="auto"/>
        <w:ind w:left="420"/>
        <w:rPr>
          <w:rFonts w:ascii="宋体" w:hAnsi="宋体"/>
          <w:szCs w:val="21"/>
          <w:lang w:val="zh-CN"/>
        </w:rPr>
      </w:pPr>
      <w:r>
        <w:rPr>
          <w:rFonts w:ascii="宋体" w:hAnsi="宋体"/>
          <w:szCs w:val="21"/>
          <w:lang w:val="zh-CN"/>
        </w:rPr>
        <w:t>其中 ：不含税价款</w:t>
      </w:r>
      <w:r>
        <w:rPr>
          <w:rFonts w:hint="eastAsia" w:ascii="宋体" w:hAnsi="宋体"/>
          <w:szCs w:val="21"/>
          <w:lang w:val="zh-CN"/>
        </w:rPr>
        <w:t>：</w:t>
      </w:r>
      <w:r>
        <w:rPr>
          <w:rFonts w:ascii="宋体" w:hAnsi="宋体"/>
          <w:szCs w:val="21"/>
          <w:lang w:val="zh-CN"/>
        </w:rPr>
        <w:t xml:space="preserve"> </w:t>
      </w:r>
      <w:r>
        <w:rPr>
          <w:rFonts w:hint="eastAsia" w:ascii="宋体" w:hAnsi="宋体"/>
          <w:szCs w:val="21"/>
          <w:lang w:val="zh-CN"/>
        </w:rPr>
        <w:t>元</w:t>
      </w:r>
      <w:r>
        <w:rPr>
          <w:rFonts w:ascii="宋体" w:hAnsi="宋体"/>
          <w:szCs w:val="21"/>
          <w:lang w:val="zh-CN"/>
        </w:rPr>
        <w:t>（</w:t>
      </w:r>
      <w:r>
        <w:rPr>
          <w:rFonts w:hint="eastAsia" w:ascii="宋体" w:hAnsi="宋体"/>
          <w:szCs w:val="21"/>
          <w:lang w:val="zh-CN"/>
        </w:rPr>
        <w:t>人民币</w:t>
      </w:r>
      <w:r>
        <w:rPr>
          <w:rFonts w:ascii="宋体" w:hAnsi="宋体"/>
          <w:szCs w:val="21"/>
          <w:lang w:val="zh-CN"/>
        </w:rPr>
        <w:t>大写</w:t>
      </w:r>
      <w:r>
        <w:rPr>
          <w:rFonts w:hint="eastAsia" w:ascii="宋体" w:hAnsi="宋体"/>
          <w:szCs w:val="21"/>
          <w:lang w:val="zh-CN"/>
        </w:rPr>
        <w:t>：</w:t>
      </w:r>
      <w:r>
        <w:rPr>
          <w:rFonts w:ascii="宋体" w:hAnsi="宋体"/>
          <w:szCs w:val="21"/>
          <w:lang w:val="zh-CN"/>
        </w:rPr>
        <w:t>）</w:t>
      </w:r>
      <w:r>
        <w:rPr>
          <w:rFonts w:hint="eastAsia" w:ascii="宋体" w:hAnsi="宋体"/>
          <w:szCs w:val="21"/>
          <w:lang w:val="zh-CN"/>
        </w:rPr>
        <w:t>；</w:t>
      </w:r>
    </w:p>
    <w:p>
      <w:pPr>
        <w:spacing w:line="360" w:lineRule="auto"/>
        <w:ind w:left="420" w:firstLine="630" w:firstLineChars="300"/>
        <w:rPr>
          <w:rFonts w:ascii="宋体" w:hAnsi="宋体"/>
          <w:szCs w:val="21"/>
          <w:lang w:val="zh-CN"/>
        </w:rPr>
      </w:pPr>
      <w:r>
        <w:rPr>
          <w:rFonts w:ascii="宋体" w:hAnsi="宋体"/>
          <w:szCs w:val="21"/>
          <w:lang w:val="zh-CN"/>
        </w:rPr>
        <w:t>增值税税金</w:t>
      </w:r>
      <w:r>
        <w:rPr>
          <w:rFonts w:hint="eastAsia" w:ascii="宋体" w:hAnsi="宋体"/>
          <w:szCs w:val="21"/>
          <w:lang w:val="zh-CN"/>
        </w:rPr>
        <w:t>：</w:t>
      </w:r>
      <w:r>
        <w:rPr>
          <w:rFonts w:ascii="宋体" w:hAnsi="宋体"/>
          <w:szCs w:val="21"/>
          <w:lang w:val="zh-CN"/>
        </w:rPr>
        <w:t xml:space="preserve"> 元（</w:t>
      </w:r>
      <w:r>
        <w:rPr>
          <w:rFonts w:hint="eastAsia" w:ascii="宋体" w:hAnsi="宋体"/>
          <w:szCs w:val="21"/>
          <w:lang w:val="zh-CN"/>
        </w:rPr>
        <w:t>人民币</w:t>
      </w:r>
      <w:r>
        <w:rPr>
          <w:rFonts w:ascii="宋体" w:hAnsi="宋体"/>
          <w:szCs w:val="21"/>
          <w:lang w:val="zh-CN"/>
        </w:rPr>
        <w:t>大写</w:t>
      </w:r>
      <w:r>
        <w:rPr>
          <w:rFonts w:hint="eastAsia" w:ascii="宋体" w:hAnsi="宋体"/>
          <w:szCs w:val="21"/>
          <w:lang w:val="zh-CN"/>
        </w:rPr>
        <w:t>：</w:t>
      </w:r>
      <w:r>
        <w:rPr>
          <w:rFonts w:ascii="宋体" w:hAnsi="宋体"/>
          <w:szCs w:val="21"/>
          <w:lang w:val="zh-CN"/>
        </w:rPr>
        <w:t>）</w:t>
      </w:r>
      <w:r>
        <w:rPr>
          <w:rFonts w:hint="eastAsia" w:ascii="宋体" w:hAnsi="宋体"/>
          <w:szCs w:val="21"/>
          <w:lang w:val="zh-CN"/>
        </w:rPr>
        <w:t>；</w:t>
      </w:r>
    </w:p>
    <w:p>
      <w:pPr>
        <w:pStyle w:val="20"/>
        <w:spacing w:line="360" w:lineRule="auto"/>
        <w:ind w:left="420" w:firstLine="630" w:firstLineChars="300"/>
        <w:rPr>
          <w:rFonts w:ascii="宋体" w:hAnsi="宋体"/>
          <w:szCs w:val="21"/>
          <w:lang w:val="zh-CN"/>
        </w:rPr>
      </w:pPr>
      <w:r>
        <w:rPr>
          <w:rFonts w:ascii="宋体" w:hAnsi="宋体"/>
          <w:szCs w:val="21"/>
          <w:lang w:val="zh-CN"/>
        </w:rPr>
        <w:t>人工费</w:t>
      </w:r>
      <w:r>
        <w:rPr>
          <w:rFonts w:hint="eastAsia" w:ascii="宋体" w:hAnsi="宋体"/>
          <w:szCs w:val="21"/>
          <w:lang w:val="zh-CN"/>
        </w:rPr>
        <w:t>：</w:t>
      </w:r>
      <w:r>
        <w:rPr>
          <w:rFonts w:ascii="宋体" w:hAnsi="宋体"/>
          <w:szCs w:val="21"/>
          <w:lang w:val="zh-CN"/>
        </w:rPr>
        <w:t>元（</w:t>
      </w:r>
      <w:r>
        <w:rPr>
          <w:rFonts w:hint="eastAsia" w:ascii="宋体" w:hAnsi="宋体"/>
          <w:szCs w:val="21"/>
          <w:lang w:val="zh-CN"/>
        </w:rPr>
        <w:t>人民币</w:t>
      </w:r>
      <w:r>
        <w:rPr>
          <w:rFonts w:ascii="宋体" w:hAnsi="宋体"/>
          <w:szCs w:val="21"/>
          <w:lang w:val="zh-CN"/>
        </w:rPr>
        <w:t>大写</w:t>
      </w:r>
      <w:r>
        <w:rPr>
          <w:rFonts w:hint="eastAsia" w:ascii="宋体" w:hAnsi="宋体"/>
          <w:szCs w:val="21"/>
          <w:lang w:val="zh-CN"/>
        </w:rPr>
        <w:t>：</w:t>
      </w:r>
      <w:r>
        <w:rPr>
          <w:rFonts w:ascii="宋体" w:hAnsi="宋体"/>
          <w:szCs w:val="21"/>
          <w:lang w:val="zh-CN"/>
        </w:rPr>
        <w:t>）</w:t>
      </w:r>
      <w:r>
        <w:rPr>
          <w:rFonts w:hint="eastAsia" w:ascii="宋体" w:hAnsi="宋体"/>
          <w:szCs w:val="21"/>
          <w:lang w:val="zh-CN"/>
        </w:rPr>
        <w:t>。</w:t>
      </w:r>
    </w:p>
    <w:p>
      <w:pPr>
        <w:spacing w:before="156" w:beforeLines="50" w:after="156" w:afterLines="50" w:line="360" w:lineRule="exact"/>
        <w:rPr>
          <w:rFonts w:hint="eastAsia" w:ascii="宋体" w:hAnsi="宋体" w:cs="宋体"/>
          <w:color w:val="000000"/>
          <w:szCs w:val="21"/>
        </w:rPr>
      </w:pPr>
      <w:r>
        <w:rPr>
          <w:rFonts w:hint="eastAsia" w:ascii="宋体" w:hAnsi="宋体" w:cs="宋体"/>
          <w:color w:val="000000"/>
          <w:szCs w:val="21"/>
        </w:rPr>
        <w:t>塔吊按拆费表</w:t>
      </w:r>
    </w:p>
    <w:tbl>
      <w:tblPr>
        <w:tblStyle w:val="17"/>
        <w:tblW w:w="9705" w:type="dxa"/>
        <w:tblInd w:w="93" w:type="dxa"/>
        <w:shd w:val="clear" w:color="auto" w:fill="auto"/>
        <w:tblLayout w:type="autofit"/>
        <w:tblCellMar>
          <w:top w:w="0" w:type="dxa"/>
          <w:left w:w="108" w:type="dxa"/>
          <w:bottom w:w="0" w:type="dxa"/>
          <w:right w:w="108" w:type="dxa"/>
        </w:tblCellMar>
      </w:tblPr>
      <w:tblGrid>
        <w:gridCol w:w="1080"/>
        <w:gridCol w:w="1080"/>
        <w:gridCol w:w="1530"/>
        <w:gridCol w:w="1080"/>
        <w:gridCol w:w="1695"/>
        <w:gridCol w:w="1080"/>
        <w:gridCol w:w="1080"/>
        <w:gridCol w:w="1080"/>
      </w:tblGrid>
      <w:tr>
        <w:tblPrEx>
          <w:shd w:val="clear" w:color="auto" w:fill="auto"/>
          <w:tblCellMar>
            <w:top w:w="0" w:type="dxa"/>
            <w:left w:w="108" w:type="dxa"/>
            <w:bottom w:w="0" w:type="dxa"/>
            <w:right w:w="108" w:type="dxa"/>
          </w:tblCellMar>
        </w:tblPrEx>
        <w:trPr>
          <w:trHeight w:val="700" w:hRule="atLeast"/>
        </w:trPr>
        <w:tc>
          <w:tcPr>
            <w:tcW w:w="108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0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设备名称</w:t>
            </w:r>
          </w:p>
        </w:tc>
        <w:tc>
          <w:tcPr>
            <w:tcW w:w="153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w:t>
            </w:r>
          </w:p>
        </w:tc>
        <w:tc>
          <w:tcPr>
            <w:tcW w:w="10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69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含税塔吊安拆费（综合单价）</w:t>
            </w:r>
          </w:p>
        </w:tc>
        <w:tc>
          <w:tcPr>
            <w:tcW w:w="10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其中人工费</w:t>
            </w:r>
          </w:p>
        </w:tc>
        <w:tc>
          <w:tcPr>
            <w:tcW w:w="10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其中增值税税金</w:t>
            </w:r>
          </w:p>
        </w:tc>
        <w:tc>
          <w:tcPr>
            <w:tcW w:w="108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r>
      <w:tr>
        <w:tblPrEx>
          <w:shd w:val="clear" w:color="auto" w:fill="auto"/>
          <w:tblCellMar>
            <w:top w:w="0" w:type="dxa"/>
            <w:left w:w="108" w:type="dxa"/>
            <w:bottom w:w="0" w:type="dxa"/>
            <w:right w:w="108" w:type="dxa"/>
          </w:tblCellMar>
        </w:tblPrEx>
        <w:trPr>
          <w:trHeight w:val="700" w:hRule="atLeast"/>
        </w:trPr>
        <w:tc>
          <w:tcPr>
            <w:tcW w:w="10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塔吊</w:t>
            </w:r>
            <w:r>
              <w:rPr>
                <w:rStyle w:val="32"/>
                <w:lang w:val="en-US" w:eastAsia="zh-CN" w:bidi="ar"/>
              </w:rPr>
              <w:t>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QTZ63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700" w:hRule="atLeast"/>
        </w:trPr>
        <w:tc>
          <w:tcPr>
            <w:tcW w:w="1080"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53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95"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spacing w:before="156" w:beforeLines="50" w:after="156" w:afterLines="50" w:line="360" w:lineRule="exact"/>
        <w:rPr>
          <w:rFonts w:ascii="宋体" w:hAnsi="宋体" w:cs="宋体"/>
          <w:color w:val="000000"/>
          <w:szCs w:val="21"/>
        </w:rPr>
      </w:pPr>
    </w:p>
    <w:p>
      <w:pPr>
        <w:pStyle w:val="20"/>
        <w:numPr>
          <w:ilvl w:val="0"/>
          <w:numId w:val="3"/>
        </w:numPr>
        <w:spacing w:line="360" w:lineRule="auto"/>
        <w:ind w:firstLineChars="0"/>
        <w:rPr>
          <w:rFonts w:ascii="宋体" w:hAnsi="宋体" w:cs="宋体"/>
          <w:szCs w:val="21"/>
        </w:rPr>
      </w:pPr>
      <w:r>
        <w:rPr>
          <w:rFonts w:hint="eastAsia" w:ascii="宋体" w:hAnsi="宋体" w:cs="宋体"/>
          <w:szCs w:val="21"/>
        </w:rPr>
        <w:t>合同价款说明</w:t>
      </w:r>
    </w:p>
    <w:p>
      <w:pPr>
        <w:pStyle w:val="20"/>
        <w:numPr>
          <w:ilvl w:val="0"/>
          <w:numId w:val="3"/>
        </w:numPr>
        <w:spacing w:line="360" w:lineRule="auto"/>
        <w:ind w:firstLineChars="0"/>
        <w:rPr>
          <w:rFonts w:ascii="宋体" w:hAnsi="宋体" w:cs="宋体"/>
          <w:szCs w:val="21"/>
        </w:rPr>
      </w:pPr>
      <w:r>
        <w:rPr>
          <w:rFonts w:hint="eastAsia" w:ascii="宋体" w:hAnsi="宋体" w:cs="宋体"/>
          <w:szCs w:val="21"/>
        </w:rPr>
        <w:t>本合同是依据经乙方技术负责人审批的《塔吊安装拆除技术方案》（作为本合同附件）确定的固定总价合同。若未发生下述条款中所列各项，则合同双方不得以任何理由调整合同总价：</w:t>
      </w:r>
    </w:p>
    <w:p>
      <w:pPr>
        <w:pStyle w:val="20"/>
        <w:spacing w:line="360" w:lineRule="auto"/>
        <w:ind w:left="360" w:firstLine="0" w:firstLineChars="0"/>
        <w:rPr>
          <w:rFonts w:ascii="宋体" w:hAnsi="宋体" w:cs="宋体"/>
          <w:szCs w:val="21"/>
        </w:rPr>
      </w:pPr>
      <w:r>
        <w:rPr>
          <w:rFonts w:hint="eastAsia" w:ascii="宋体" w:hAnsi="宋体" w:cs="宋体"/>
          <w:szCs w:val="21"/>
        </w:rPr>
        <w:t>1）由于甲方原因，导致所安装塔吊改型；</w:t>
      </w:r>
    </w:p>
    <w:p>
      <w:pPr>
        <w:pStyle w:val="20"/>
        <w:spacing w:line="360" w:lineRule="auto"/>
        <w:ind w:left="360" w:firstLine="0" w:firstLineChars="0"/>
        <w:rPr>
          <w:rFonts w:ascii="宋体" w:hAnsi="宋体" w:cs="宋体"/>
          <w:szCs w:val="21"/>
        </w:rPr>
      </w:pPr>
      <w:r>
        <w:rPr>
          <w:rFonts w:hint="eastAsia" w:ascii="宋体" w:hAnsi="宋体" w:cs="宋体"/>
          <w:szCs w:val="21"/>
        </w:rPr>
        <w:t>2）由于塔吊实际技术性能无法达到所提供塔型出厂技术性能及起重特性。</w:t>
      </w:r>
    </w:p>
    <w:p>
      <w:pPr>
        <w:pStyle w:val="20"/>
        <w:numPr>
          <w:ilvl w:val="0"/>
          <w:numId w:val="3"/>
        </w:numPr>
        <w:spacing w:line="360" w:lineRule="auto"/>
        <w:ind w:firstLineChars="0"/>
        <w:rPr>
          <w:rFonts w:ascii="宋体" w:hAnsi="宋体" w:cs="宋体"/>
          <w:szCs w:val="21"/>
        </w:rPr>
      </w:pPr>
      <w:r>
        <w:rPr>
          <w:rFonts w:hint="eastAsia" w:ascii="宋体" w:hAnsi="宋体" w:cs="宋体"/>
          <w:szCs w:val="21"/>
        </w:rPr>
        <w:t>塔吊</w:t>
      </w:r>
      <w:r>
        <w:rPr>
          <w:rFonts w:hint="eastAsia" w:ascii="宋体" w:hAnsi="宋体" w:cs="宋体"/>
          <w:szCs w:val="21"/>
          <w:lang w:val="en-US" w:eastAsia="zh-CN"/>
        </w:rPr>
        <w:t>安</w:t>
      </w:r>
      <w:r>
        <w:rPr>
          <w:rFonts w:hint="eastAsia" w:ascii="宋体" w:hAnsi="宋体" w:cs="宋体"/>
          <w:szCs w:val="21"/>
        </w:rPr>
        <w:t xml:space="preserve">拆费包含安装需用预埋角钢的加工制作费用，基础预埋腿及基础预埋节的费用包含预埋马凳、接地装置费用。 </w:t>
      </w:r>
    </w:p>
    <w:p>
      <w:pPr>
        <w:pStyle w:val="20"/>
        <w:spacing w:line="360" w:lineRule="auto"/>
        <w:ind w:left="420" w:hanging="420" w:hangingChars="200"/>
        <w:rPr>
          <w:rFonts w:ascii="宋体" w:hAnsi="宋体" w:cs="宋体"/>
          <w:szCs w:val="21"/>
        </w:rPr>
      </w:pPr>
      <w:r>
        <w:rPr>
          <w:rFonts w:hint="eastAsia" w:ascii="宋体" w:hAnsi="宋体" w:cs="宋体"/>
          <w:color w:val="FF0000"/>
          <w:szCs w:val="21"/>
          <w:lang w:val="en-US" w:eastAsia="zh-CN"/>
        </w:rPr>
        <w:t>6</w:t>
      </w:r>
      <w:r>
        <w:rPr>
          <w:rFonts w:hint="eastAsia" w:ascii="宋体" w:hAnsi="宋体" w:cs="宋体"/>
          <w:color w:val="FF0000"/>
          <w:szCs w:val="21"/>
        </w:rPr>
        <w:t xml:space="preserve">. </w:t>
      </w:r>
      <w:r>
        <w:rPr>
          <w:rFonts w:hint="eastAsia" w:ascii="宋体" w:hAnsi="宋体" w:cs="宋体"/>
          <w:szCs w:val="21"/>
        </w:rPr>
        <w:t xml:space="preserve"> 以上单价为固定综合单价，它包括乙方为履行本合同约定的义务，完成合同工作内容，承担自身经营风险，满足国家规范、规程、标准和设计要求，达到业主、监理、甲方满意所发生的一切相关费用。</w:t>
      </w:r>
    </w:p>
    <w:p>
      <w:pPr>
        <w:pStyle w:val="20"/>
        <w:spacing w:line="360" w:lineRule="auto"/>
        <w:ind w:left="420" w:hanging="420" w:hangingChars="200"/>
        <w:rPr>
          <w:rFonts w:ascii="宋体" w:hAnsi="宋体" w:cs="宋体"/>
          <w:szCs w:val="21"/>
        </w:rPr>
      </w:pPr>
      <w:bookmarkStart w:id="11" w:name="_Hlk511978932"/>
      <w:r>
        <w:rPr>
          <w:rFonts w:hint="eastAsia" w:ascii="宋体" w:hAnsi="宋体" w:cs="宋体"/>
          <w:color w:val="FF0000"/>
          <w:szCs w:val="21"/>
          <w:lang w:val="en-US" w:eastAsia="zh-CN"/>
        </w:rPr>
        <w:t>7</w:t>
      </w:r>
      <w:r>
        <w:rPr>
          <w:rFonts w:hint="eastAsia" w:ascii="宋体" w:hAnsi="宋体" w:cs="宋体"/>
          <w:color w:val="FF0000"/>
          <w:szCs w:val="21"/>
        </w:rPr>
        <w:t xml:space="preserve">. </w:t>
      </w:r>
      <w:r>
        <w:rPr>
          <w:rFonts w:hint="eastAsia" w:ascii="宋体" w:hAnsi="宋体" w:cs="宋体"/>
          <w:szCs w:val="21"/>
        </w:rPr>
        <w:t xml:space="preserve"> 本合同固定综合单价不再做任何调整。任何因市场物价波动、生活费用提高、人员工资的提高、政府税收与收费的调整以及政府与行业主管部门红头文件的颁发等因素引起的乙方的成本的增减，均属于乙方自身经营风险，视为已经事先充分估计并已经包含在合同固定综合单价之中。</w:t>
      </w:r>
    </w:p>
    <w:bookmarkEnd w:id="11"/>
    <w:p>
      <w:pPr>
        <w:pStyle w:val="2"/>
        <w:spacing w:before="12" w:beforeLines="4" w:after="12" w:afterLines="4" w:line="360" w:lineRule="auto"/>
      </w:pPr>
      <w:bookmarkStart w:id="12" w:name="_Toc22368236"/>
      <w:bookmarkStart w:id="13" w:name="_Toc20329354"/>
      <w:r>
        <w:rPr>
          <w:rFonts w:hint="eastAsia"/>
        </w:rPr>
        <w:t>第七条：付款</w:t>
      </w:r>
      <w:bookmarkEnd w:id="12"/>
      <w:r>
        <w:rPr>
          <w:rFonts w:hint="eastAsia"/>
        </w:rPr>
        <w:t>与结算</w:t>
      </w:r>
      <w:bookmarkEnd w:id="13"/>
    </w:p>
    <w:p>
      <w:pPr>
        <w:pStyle w:val="20"/>
        <w:numPr>
          <w:ilvl w:val="0"/>
          <w:numId w:val="4"/>
        </w:numPr>
        <w:spacing w:line="360" w:lineRule="auto"/>
        <w:ind w:firstLineChars="0"/>
        <w:rPr>
          <w:rFonts w:ascii="宋体" w:hAnsi="宋体" w:cs="宋体"/>
          <w:szCs w:val="21"/>
        </w:rPr>
      </w:pPr>
      <w:r>
        <w:rPr>
          <w:rFonts w:hint="eastAsia" w:ascii="宋体" w:hAnsi="宋体" w:cs="宋体"/>
          <w:kern w:val="16"/>
          <w:szCs w:val="21"/>
        </w:rPr>
        <w:t>本工程无预付款。</w:t>
      </w:r>
    </w:p>
    <w:p>
      <w:pPr>
        <w:pStyle w:val="20"/>
        <w:numPr>
          <w:ilvl w:val="0"/>
          <w:numId w:val="4"/>
        </w:numPr>
        <w:spacing w:line="360" w:lineRule="auto"/>
        <w:ind w:firstLineChars="0"/>
        <w:rPr>
          <w:rFonts w:ascii="宋体" w:hAnsi="宋体" w:cs="宋体"/>
          <w:kern w:val="16"/>
          <w:szCs w:val="21"/>
        </w:rPr>
      </w:pPr>
      <w:r>
        <w:rPr>
          <w:rFonts w:hint="eastAsia" w:ascii="宋体" w:hAnsi="宋体" w:cs="宋体"/>
          <w:kern w:val="16"/>
          <w:szCs w:val="21"/>
        </w:rPr>
        <w:t>月度付款前提：</w:t>
      </w:r>
    </w:p>
    <w:p>
      <w:pPr>
        <w:pStyle w:val="20"/>
        <w:numPr>
          <w:ilvl w:val="0"/>
          <w:numId w:val="5"/>
        </w:numPr>
        <w:spacing w:line="360" w:lineRule="auto"/>
        <w:ind w:firstLine="6" w:firstLineChars="0"/>
        <w:rPr>
          <w:rFonts w:ascii="宋体" w:hAnsi="宋体" w:cs="宋体"/>
          <w:kern w:val="16"/>
          <w:szCs w:val="21"/>
        </w:rPr>
      </w:pPr>
      <w:r>
        <w:rPr>
          <w:rFonts w:hint="eastAsia" w:ascii="宋体" w:hAnsi="宋体" w:cs="宋体"/>
          <w:szCs w:val="21"/>
        </w:rPr>
        <w:t>业主已经将相应款项支付给甲方</w:t>
      </w:r>
    </w:p>
    <w:p>
      <w:pPr>
        <w:pStyle w:val="20"/>
        <w:numPr>
          <w:ilvl w:val="0"/>
          <w:numId w:val="5"/>
        </w:numPr>
        <w:spacing w:line="360" w:lineRule="auto"/>
        <w:ind w:firstLine="6" w:firstLineChars="0"/>
        <w:rPr>
          <w:rFonts w:ascii="宋体" w:hAnsi="宋体" w:cs="宋体"/>
          <w:szCs w:val="21"/>
        </w:rPr>
      </w:pPr>
      <w:r>
        <w:rPr>
          <w:rFonts w:hint="eastAsia" w:ascii="宋体" w:hAnsi="宋体" w:cs="宋体"/>
          <w:szCs w:val="21"/>
        </w:rPr>
        <w:t>月度施工内容经甲方同意</w:t>
      </w:r>
    </w:p>
    <w:p>
      <w:pPr>
        <w:pStyle w:val="20"/>
        <w:numPr>
          <w:ilvl w:val="0"/>
          <w:numId w:val="5"/>
        </w:numPr>
        <w:spacing w:line="360" w:lineRule="auto"/>
        <w:ind w:firstLine="6" w:firstLineChars="0"/>
        <w:rPr>
          <w:rFonts w:ascii="宋体" w:hAnsi="宋体" w:cs="宋体"/>
          <w:szCs w:val="21"/>
        </w:rPr>
      </w:pPr>
      <w:r>
        <w:rPr>
          <w:rFonts w:hint="eastAsia" w:ascii="宋体" w:hAnsi="宋体" w:cs="宋体"/>
          <w:szCs w:val="21"/>
        </w:rPr>
        <w:t>施工进度在甲方的总控制计划之下</w:t>
      </w:r>
    </w:p>
    <w:p>
      <w:pPr>
        <w:pStyle w:val="20"/>
        <w:numPr>
          <w:ilvl w:val="0"/>
          <w:numId w:val="5"/>
        </w:numPr>
        <w:spacing w:line="360" w:lineRule="auto"/>
        <w:ind w:firstLine="6" w:firstLineChars="0"/>
        <w:rPr>
          <w:rFonts w:ascii="宋体" w:hAnsi="宋体" w:cs="宋体"/>
          <w:szCs w:val="21"/>
        </w:rPr>
      </w:pPr>
      <w:r>
        <w:rPr>
          <w:rFonts w:hint="eastAsia" w:ascii="宋体" w:hAnsi="宋体" w:cs="宋体"/>
          <w:szCs w:val="21"/>
        </w:rPr>
        <w:t>试验/复试报告证明所用材料合格或满足合同要求</w:t>
      </w:r>
    </w:p>
    <w:p>
      <w:pPr>
        <w:pStyle w:val="20"/>
        <w:numPr>
          <w:ilvl w:val="0"/>
          <w:numId w:val="5"/>
        </w:numPr>
        <w:spacing w:line="360" w:lineRule="auto"/>
        <w:ind w:firstLine="6" w:firstLineChars="0"/>
        <w:rPr>
          <w:rFonts w:ascii="宋体" w:hAnsi="宋体" w:cs="宋体"/>
          <w:szCs w:val="21"/>
        </w:rPr>
      </w:pPr>
      <w:r>
        <w:rPr>
          <w:rFonts w:hint="eastAsia" w:ascii="宋体" w:hAnsi="宋体" w:cs="宋体"/>
          <w:szCs w:val="21"/>
        </w:rPr>
        <w:t>经监理单位、甲方验收合格【分项验收时】</w:t>
      </w:r>
    </w:p>
    <w:p>
      <w:pPr>
        <w:pStyle w:val="20"/>
        <w:numPr>
          <w:ilvl w:val="0"/>
          <w:numId w:val="5"/>
        </w:numPr>
        <w:spacing w:line="360" w:lineRule="auto"/>
        <w:ind w:firstLine="6" w:firstLineChars="0"/>
        <w:rPr>
          <w:rFonts w:ascii="宋体" w:hAnsi="宋体" w:cs="宋体"/>
          <w:szCs w:val="21"/>
        </w:rPr>
      </w:pPr>
      <w:r>
        <w:rPr>
          <w:rFonts w:hint="eastAsia" w:ascii="宋体" w:hAnsi="宋体" w:cs="宋体"/>
          <w:szCs w:val="21"/>
        </w:rPr>
        <w:t>随月进度提交了相关技术资料【试验报告、验收资料等】</w:t>
      </w:r>
      <w:bookmarkStart w:id="55" w:name="_GoBack"/>
      <w:bookmarkEnd w:id="55"/>
    </w:p>
    <w:p>
      <w:pPr>
        <w:pStyle w:val="20"/>
        <w:numPr>
          <w:ilvl w:val="0"/>
          <w:numId w:val="4"/>
        </w:numPr>
        <w:spacing w:line="360" w:lineRule="auto"/>
        <w:ind w:firstLineChars="0"/>
        <w:rPr>
          <w:rFonts w:ascii="宋体" w:hAnsi="宋体" w:cs="宋体"/>
          <w:szCs w:val="21"/>
        </w:rPr>
      </w:pPr>
      <w:r>
        <w:rPr>
          <w:rFonts w:hint="eastAsia" w:ascii="宋体" w:hAnsi="宋体" w:cs="宋体"/>
          <w:szCs w:val="21"/>
        </w:rPr>
        <w:t>付款程序</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378" w:firstLineChars="200"/>
        <w:jc w:val="left"/>
        <w:rPr>
          <w:rFonts w:hint="default" w:ascii="宋体" w:hAnsi="宋体"/>
          <w:color w:val="auto"/>
          <w:w w:val="90"/>
          <w:sz w:val="21"/>
          <w:highlight w:val="magenta"/>
          <w:lang w:val="en-US" w:eastAsia="zh-CN"/>
        </w:rPr>
      </w:pPr>
      <w:r>
        <w:rPr>
          <w:rFonts w:hint="eastAsia" w:ascii="宋体" w:hAnsi="宋体"/>
          <w:color w:val="auto"/>
          <w:w w:val="90"/>
          <w:sz w:val="21"/>
          <w:lang w:val="en-US" w:eastAsia="zh-CN"/>
        </w:rPr>
        <w:t>1）</w:t>
      </w:r>
      <w:r>
        <w:rPr>
          <w:rFonts w:hint="eastAsia" w:ascii="宋体" w:hAnsi="宋体"/>
          <w:color w:val="auto"/>
          <w:w w:val="90"/>
          <w:sz w:val="21"/>
        </w:rPr>
        <w:t>付款方式：</w:t>
      </w:r>
      <w:r>
        <w:rPr>
          <w:rFonts w:hint="eastAsia" w:ascii="宋体" w:hAnsi="宋体" w:cs="宋体"/>
          <w:szCs w:val="21"/>
          <w:highlight w:val="magenta"/>
        </w:rPr>
        <w:t>塔吊安装完毕，验收合格后，</w:t>
      </w:r>
      <w:r>
        <w:rPr>
          <w:rFonts w:hint="eastAsia" w:ascii="宋体" w:hAnsi="宋体"/>
          <w:color w:val="auto"/>
          <w:w w:val="90"/>
          <w:sz w:val="21"/>
          <w:highlight w:val="magenta"/>
          <w:lang w:val="en-US" w:eastAsia="zh-CN"/>
        </w:rPr>
        <w:t>付至总安拆合同金额的50%</w:t>
      </w:r>
      <w:r>
        <w:rPr>
          <w:rFonts w:hint="eastAsia" w:ascii="宋体" w:hAnsi="宋体" w:cs="宋体"/>
          <w:szCs w:val="21"/>
        </w:rPr>
        <w:t>（</w:t>
      </w:r>
      <w:r>
        <w:rPr>
          <w:rFonts w:hint="eastAsia" w:ascii="宋体" w:hAnsi="宋体" w:cs="宋体"/>
          <w:szCs w:val="21"/>
          <w:highlight w:val="magenta"/>
        </w:rPr>
        <w:t>该款额已包含了当月100%的纯人工费，即全部工人工资）</w:t>
      </w:r>
      <w:r>
        <w:rPr>
          <w:rFonts w:hint="eastAsia" w:ascii="宋体" w:hAnsi="宋体"/>
          <w:color w:val="auto"/>
          <w:w w:val="90"/>
          <w:sz w:val="21"/>
          <w:highlight w:val="magenta"/>
          <w:lang w:val="en-US" w:eastAsia="zh-CN"/>
        </w:rPr>
        <w:t>，全部塔吊拆除后支付至安拆合同金额的80%.结算完成支付至安拆合同额的100%。</w:t>
      </w:r>
    </w:p>
    <w:p>
      <w:pPr>
        <w:pStyle w:val="20"/>
        <w:spacing w:line="360" w:lineRule="auto"/>
        <w:ind w:left="420" w:firstLine="0" w:firstLineChars="0"/>
        <w:rPr>
          <w:rFonts w:ascii="宋体" w:hAnsi="宋体" w:cs="宋体"/>
          <w:b/>
          <w:szCs w:val="21"/>
        </w:rPr>
      </w:pPr>
      <w:r>
        <w:rPr>
          <w:rFonts w:hint="eastAsia" w:ascii="宋体" w:hAnsi="宋体" w:cs="宋体"/>
          <w:color w:val="FF0000"/>
          <w:szCs w:val="21"/>
        </w:rPr>
        <w:t>2)</w:t>
      </w:r>
      <w:r>
        <w:rPr>
          <w:rFonts w:hint="eastAsia" w:ascii="宋体" w:hAnsi="宋体" w:cs="宋体"/>
          <w:szCs w:val="21"/>
        </w:rPr>
        <w:t xml:space="preserve"> 乙方申请付款的同时须向甲方提供符合第四条第3项要求的增值税发票, </w:t>
      </w:r>
      <w:r>
        <w:rPr>
          <w:rFonts w:hint="eastAsia" w:ascii="宋体" w:hAnsi="宋体" w:cs="宋体"/>
          <w:b/>
          <w:szCs w:val="21"/>
        </w:rPr>
        <w:t>发票抬</w:t>
      </w:r>
    </w:p>
    <w:p>
      <w:pPr>
        <w:pStyle w:val="20"/>
        <w:spacing w:line="360" w:lineRule="auto"/>
        <w:ind w:left="780" w:firstLine="0" w:firstLineChars="0"/>
        <w:rPr>
          <w:rFonts w:ascii="宋体" w:hAnsi="宋体" w:cs="宋体"/>
          <w:szCs w:val="21"/>
        </w:rPr>
      </w:pPr>
      <w:r>
        <w:rPr>
          <w:rFonts w:hint="eastAsia" w:ascii="宋体" w:hAnsi="宋体" w:cs="宋体"/>
          <w:b/>
          <w:szCs w:val="21"/>
        </w:rPr>
        <w:t>头为：中国建筑一局（集团）有限公司</w:t>
      </w:r>
      <w:r>
        <w:rPr>
          <w:rFonts w:hint="eastAsia" w:ascii="宋体" w:hAnsi="宋体" w:cs="宋体"/>
          <w:szCs w:val="21"/>
        </w:rPr>
        <w:t>,否则甲方有权暂不支付；如乙方提供虚假发票，则因假发票而引起的税款、滞纳金及罚款等由乙方自行承担，因假发票给甲方造成的经济损失由乙方负责赔偿。</w:t>
      </w:r>
    </w:p>
    <w:p>
      <w:pPr>
        <w:pStyle w:val="20"/>
        <w:spacing w:line="360" w:lineRule="auto"/>
        <w:ind w:left="735" w:leftChars="200" w:hanging="315" w:hangingChars="150"/>
        <w:rPr>
          <w:rFonts w:ascii="宋体" w:hAnsi="宋体" w:cs="宋体"/>
          <w:szCs w:val="21"/>
        </w:rPr>
      </w:pPr>
      <w:r>
        <w:rPr>
          <w:rFonts w:hint="eastAsia" w:ascii="宋体" w:hAnsi="宋体" w:cs="宋体"/>
          <w:color w:val="FF0000"/>
          <w:szCs w:val="21"/>
        </w:rPr>
        <w:t>3)</w:t>
      </w:r>
      <w:r>
        <w:rPr>
          <w:rFonts w:hint="eastAsia" w:ascii="宋体" w:hAnsi="宋体" w:cs="宋体"/>
          <w:szCs w:val="21"/>
        </w:rPr>
        <w:t xml:space="preserve"> 乙方收取竣工结算价款（即累计支付至工程结算总价的 95％）时，应按工程结算总价提供全额发票（含保修金的发票）,否则甲方有权暂不支付。如因特殊原因（包括但不限于代付第三方材料款、垫付农民工工资、执行法院裁决和政府决定的款项）甲方先行支付工程款的，乙方应于收到甲方通知之日起七日内开具相应数额的发票，乙方不履行开票义务的，应每日按所应开发票额度的0.3%向甲方承担违约责任，甲方有权直接在后续应付给乙方的款项中扣除。</w:t>
      </w:r>
    </w:p>
    <w:p>
      <w:pPr>
        <w:pStyle w:val="20"/>
        <w:spacing w:line="360" w:lineRule="auto"/>
        <w:ind w:left="735" w:leftChars="200" w:hanging="315" w:hangingChars="150"/>
        <w:rPr>
          <w:rFonts w:ascii="宋体" w:hAnsi="宋体" w:cs="宋体"/>
          <w:szCs w:val="21"/>
        </w:rPr>
      </w:pPr>
      <w:r>
        <w:rPr>
          <w:rFonts w:hint="eastAsia" w:ascii="宋体" w:hAnsi="宋体" w:cs="宋体"/>
          <w:color w:val="FF0000"/>
          <w:szCs w:val="21"/>
        </w:rPr>
        <w:t>4)</w:t>
      </w:r>
      <w:r>
        <w:rPr>
          <w:rFonts w:hint="eastAsia" w:ascii="宋体" w:hAnsi="宋体" w:cs="宋体"/>
          <w:szCs w:val="21"/>
        </w:rPr>
        <w:t xml:space="preserve"> 凡乙方未能按约定及时向甲方开具发票的，甲方可按照本合同约定的争议解决方式向乙方主张权利，要求乙方按合同约定开具发票或承担因未开具发票给甲方造成的包括但不限于多缴纳企业所得税、增值税不能抵扣等一切损失并承担违约责任。</w:t>
      </w:r>
    </w:p>
    <w:p>
      <w:pPr>
        <w:pStyle w:val="20"/>
        <w:spacing w:line="360" w:lineRule="auto"/>
        <w:ind w:left="735" w:leftChars="200" w:hanging="315" w:hangingChars="150"/>
        <w:rPr>
          <w:rFonts w:ascii="宋体" w:hAnsi="宋体" w:cs="宋体"/>
          <w:szCs w:val="21"/>
        </w:rPr>
      </w:pPr>
      <w:r>
        <w:rPr>
          <w:rFonts w:hint="eastAsia" w:ascii="宋体" w:hAnsi="宋体" w:cs="宋体"/>
          <w:color w:val="FF0000"/>
          <w:szCs w:val="21"/>
        </w:rPr>
        <w:t>5)</w:t>
      </w:r>
      <w:r>
        <w:rPr>
          <w:rFonts w:hint="eastAsia" w:ascii="宋体" w:hAnsi="宋体" w:cs="宋体"/>
          <w:szCs w:val="21"/>
        </w:rPr>
        <w:t xml:space="preserve"> 甲方收到乙方提供的最后一次款项相对应的增值税专用发票时，应待甲方确认乙方已全额缴税、且到甲乙双方原合同约定的最终付款时间后一个月内，方可支付尾款。（提供专票时需要本条）。</w:t>
      </w:r>
    </w:p>
    <w:p>
      <w:pPr>
        <w:pStyle w:val="20"/>
        <w:spacing w:line="360" w:lineRule="auto"/>
        <w:ind w:left="735" w:leftChars="200" w:hanging="315" w:hangingChars="150"/>
        <w:rPr>
          <w:rFonts w:ascii="宋体" w:hAnsi="宋体" w:cs="宋体"/>
          <w:szCs w:val="21"/>
        </w:rPr>
      </w:pPr>
      <w:r>
        <w:rPr>
          <w:rFonts w:hint="eastAsia" w:ascii="宋体" w:hAnsi="宋体" w:cs="宋体"/>
          <w:color w:val="FF0000"/>
          <w:szCs w:val="21"/>
        </w:rPr>
        <w:t>6)</w:t>
      </w:r>
      <w:r>
        <w:rPr>
          <w:rFonts w:hint="eastAsia" w:ascii="宋体" w:hAnsi="宋体" w:cs="宋体"/>
          <w:szCs w:val="21"/>
        </w:rPr>
        <w:t xml:space="preserve"> 本合同在执行过程中如发生货物、服务质量问题导致扣款、退货或其他需要发生开具增值税红字发票的（含专用发票和普通发票），由乙方按照税务管理部门规定完成开具工作，甲乙双方发生的费用已包含在签约合同价中，不得另行向甲方主张。</w:t>
      </w:r>
    </w:p>
    <w:p>
      <w:pPr>
        <w:pStyle w:val="20"/>
        <w:spacing w:line="360" w:lineRule="auto"/>
        <w:ind w:left="735" w:leftChars="200" w:hanging="315" w:hangingChars="150"/>
        <w:rPr>
          <w:rFonts w:ascii="宋体" w:hAnsi="宋体" w:cs="宋体"/>
          <w:szCs w:val="21"/>
        </w:rPr>
      </w:pPr>
      <w:r>
        <w:rPr>
          <w:rFonts w:hint="eastAsia" w:ascii="宋体" w:hAnsi="宋体" w:cs="宋体"/>
          <w:color w:val="FF0000"/>
          <w:szCs w:val="21"/>
        </w:rPr>
        <w:t>7)</w:t>
      </w:r>
      <w:r>
        <w:rPr>
          <w:rFonts w:hint="eastAsia" w:ascii="宋体" w:hAnsi="宋体" w:cs="宋体"/>
          <w:szCs w:val="21"/>
        </w:rPr>
        <w:t xml:space="preserve"> 甲方办理结算手续后，根据甲方资金状况进行支付。若因业主原因导致计价款滞后，甲方可延迟付款。乙方必须向甲方提供以乙方公司（非个人）全称开户的银行账户账号，甲方将款项支付至此指定账户。</w:t>
      </w:r>
    </w:p>
    <w:p>
      <w:pPr>
        <w:pStyle w:val="20"/>
        <w:spacing w:line="360" w:lineRule="auto"/>
        <w:ind w:left="735" w:leftChars="200" w:hanging="315" w:hangingChars="150"/>
        <w:rPr>
          <w:rFonts w:ascii="宋体" w:hAnsi="宋体" w:cs="宋体"/>
          <w:szCs w:val="21"/>
        </w:rPr>
      </w:pPr>
      <w:r>
        <w:rPr>
          <w:rFonts w:hint="eastAsia" w:ascii="宋体" w:hAnsi="宋体" w:cs="宋体"/>
          <w:color w:val="FF0000"/>
          <w:szCs w:val="21"/>
        </w:rPr>
        <w:t>8)</w:t>
      </w:r>
      <w:r>
        <w:rPr>
          <w:rFonts w:hint="eastAsia" w:ascii="宋体" w:hAnsi="宋体" w:cs="宋体"/>
          <w:szCs w:val="21"/>
        </w:rPr>
        <w:t xml:space="preserve"> 乙方向非本合同当事人提供发票行为不当，引起国家税务管理机构或公安机关查处，要求甲方配合调查的，乙方应赔偿损失并支付合同价格10%的违约金。</w:t>
      </w:r>
    </w:p>
    <w:p>
      <w:pPr>
        <w:spacing w:line="360" w:lineRule="auto"/>
        <w:ind w:left="945" w:leftChars="350" w:hanging="210" w:hangingChars="100"/>
        <w:rPr>
          <w:rFonts w:ascii="宋体" w:hAnsi="宋体"/>
          <w:szCs w:val="21"/>
          <w:lang w:val="zh-CN"/>
        </w:rPr>
      </w:pPr>
      <w:r>
        <w:rPr>
          <w:rFonts w:hint="eastAsia" w:ascii="宋体" w:hAnsi="宋体" w:cs="宋体"/>
          <w:szCs w:val="21"/>
        </w:rPr>
        <w:t>9)乙方于每期收到工程款后必须及时支付工人劳务费， 并在</w:t>
      </w:r>
      <w:r>
        <w:rPr>
          <w:rFonts w:hint="eastAsia" w:ascii="宋体" w:hAnsi="宋体"/>
          <w:szCs w:val="21"/>
        </w:rPr>
        <w:t>每月领取工程款之前</w:t>
      </w:r>
      <w:r>
        <w:rPr>
          <w:rFonts w:hint="eastAsia" w:ascii="宋体" w:hAnsi="宋体" w:cs="宋体"/>
          <w:szCs w:val="21"/>
        </w:rPr>
        <w:t>按照</w:t>
      </w:r>
      <w:r>
        <w:rPr>
          <w:rFonts w:hint="eastAsia" w:ascii="宋体" w:hAnsi="宋体" w:cs="宋体"/>
          <w:b/>
          <w:bCs/>
          <w:szCs w:val="21"/>
        </w:rPr>
        <w:t>人工费支付的特别约定</w:t>
      </w:r>
      <w:r>
        <w:rPr>
          <w:rFonts w:hint="eastAsia" w:ascii="宋体" w:hAnsi="宋体" w:cs="宋体"/>
          <w:szCs w:val="21"/>
        </w:rPr>
        <w:t>向甲方提供相应资料，并保证资料完整、真实，否则甲方有权拒绝支付。</w:t>
      </w:r>
    </w:p>
    <w:p>
      <w:pPr>
        <w:spacing w:line="360" w:lineRule="auto"/>
        <w:ind w:left="735" w:leftChars="350"/>
        <w:rPr>
          <w:rFonts w:ascii="宋体" w:hAnsi="宋体"/>
          <w:szCs w:val="21"/>
          <w:lang w:val="zh-CN"/>
        </w:rPr>
      </w:pPr>
    </w:p>
    <w:p>
      <w:pPr>
        <w:pStyle w:val="20"/>
        <w:spacing w:line="360" w:lineRule="auto"/>
        <w:ind w:firstLine="0" w:firstLineChars="0"/>
        <w:rPr>
          <w:rFonts w:ascii="宋体" w:hAnsi="宋体" w:cs="宋体"/>
          <w:bCs/>
          <w:szCs w:val="21"/>
        </w:rPr>
      </w:pPr>
      <w:r>
        <w:rPr>
          <w:rFonts w:hint="eastAsia" w:ascii="宋体" w:hAnsi="宋体" w:cs="宋体"/>
          <w:bCs/>
          <w:color w:val="FF0000"/>
          <w:szCs w:val="21"/>
        </w:rPr>
        <w:t>4.  结算</w:t>
      </w:r>
    </w:p>
    <w:p>
      <w:pPr>
        <w:pStyle w:val="20"/>
        <w:spacing w:line="360" w:lineRule="auto"/>
        <w:ind w:left="735" w:leftChars="200" w:hanging="315" w:hangingChars="150"/>
        <w:rPr>
          <w:rFonts w:ascii="宋体" w:hAnsi="宋体" w:cs="宋体"/>
          <w:szCs w:val="21"/>
        </w:rPr>
      </w:pPr>
      <w:r>
        <w:rPr>
          <w:rFonts w:hint="eastAsia" w:ascii="宋体" w:hAnsi="宋体" w:cs="宋体"/>
          <w:szCs w:val="21"/>
        </w:rPr>
        <w:t>1）乙方按合同约定完成施工内容后，甲乙双方办理结算并签订书面《分包结算书》（样 表详见附件十二），该结算书作为双方结算金额确定的唯一依据，其他任何包括但不 限于对账明细单、预结算单、确认单等资料，均不作为双方结算金额确定的依据。</w:t>
      </w:r>
    </w:p>
    <w:p>
      <w:pPr>
        <w:pStyle w:val="20"/>
        <w:spacing w:line="360" w:lineRule="auto"/>
        <w:ind w:left="840" w:leftChars="250" w:hanging="315" w:hangingChars="150"/>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）乙方完成本合同约定的全部工作内容后14天内，乙方向甲方递交竣工结算报告及  完整的结算资料，双方按照本合同约定的合同价款及工程量计算方式，进行工程竣工结算。</w:t>
      </w:r>
    </w:p>
    <w:p>
      <w:pPr>
        <w:pStyle w:val="20"/>
        <w:spacing w:line="360" w:lineRule="auto"/>
        <w:ind w:left="840" w:leftChars="250" w:hanging="315" w:hangingChars="15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）分包工程竣工验收合格经甲方认可后14天内，乙方未能递交竣工结算报告及完整    的结算资料，造成工程竣工结算不能正常进行，乙方承担违约责任。</w:t>
      </w:r>
    </w:p>
    <w:p>
      <w:pPr>
        <w:pStyle w:val="20"/>
        <w:spacing w:line="360" w:lineRule="auto"/>
        <w:ind w:firstLine="0" w:firstLineChars="0"/>
        <w:rPr>
          <w:rFonts w:ascii="宋体" w:hAnsi="宋体" w:cs="宋体"/>
          <w:color w:val="FF0000"/>
          <w:szCs w:val="21"/>
        </w:rPr>
      </w:pPr>
      <w:r>
        <w:rPr>
          <w:rFonts w:hint="eastAsia" w:ascii="宋体" w:hAnsi="宋体" w:cs="宋体"/>
          <w:color w:val="FF0000"/>
          <w:szCs w:val="21"/>
        </w:rPr>
        <w:t>5.  资金风险共担</w:t>
      </w:r>
    </w:p>
    <w:p>
      <w:pPr>
        <w:pStyle w:val="20"/>
        <w:numPr>
          <w:ilvl w:val="0"/>
          <w:numId w:val="6"/>
        </w:numPr>
        <w:spacing w:line="360" w:lineRule="auto"/>
        <w:ind w:firstLineChars="0"/>
        <w:rPr>
          <w:rFonts w:ascii="宋体" w:hAnsi="宋体" w:cs="宋体"/>
          <w:bCs/>
          <w:szCs w:val="21"/>
        </w:rPr>
      </w:pPr>
      <w:r>
        <w:rPr>
          <w:rFonts w:hint="eastAsia" w:ascii="宋体" w:hAnsi="宋体" w:cs="宋体"/>
          <w:bCs/>
          <w:szCs w:val="21"/>
        </w:rPr>
        <w:t>鉴于目前建筑市场的实际状况，甲方不能保证业主的资金能按时足额到位。在此</w:t>
      </w:r>
    </w:p>
    <w:p>
      <w:pPr>
        <w:pStyle w:val="20"/>
        <w:spacing w:line="360" w:lineRule="auto"/>
        <w:ind w:left="480" w:firstLine="315" w:firstLineChars="150"/>
        <w:rPr>
          <w:rFonts w:ascii="宋体" w:hAnsi="宋体" w:cs="宋体"/>
          <w:bCs/>
          <w:szCs w:val="21"/>
        </w:rPr>
      </w:pPr>
      <w:r>
        <w:rPr>
          <w:rFonts w:hint="eastAsia" w:ascii="宋体" w:hAnsi="宋体" w:cs="宋体"/>
          <w:bCs/>
          <w:szCs w:val="21"/>
        </w:rPr>
        <w:t>情况下，乙方郑重承诺，为共同开拓占领市场，对甲方未收到业主相应款项情况下，</w:t>
      </w:r>
    </w:p>
    <w:p>
      <w:pPr>
        <w:pStyle w:val="20"/>
        <w:spacing w:line="360" w:lineRule="auto"/>
        <w:ind w:left="480" w:firstLine="315" w:firstLineChars="150"/>
        <w:rPr>
          <w:rFonts w:ascii="宋体" w:hAnsi="宋体" w:cs="宋体"/>
          <w:bCs/>
          <w:szCs w:val="21"/>
        </w:rPr>
      </w:pPr>
      <w:r>
        <w:rPr>
          <w:rFonts w:hint="eastAsia" w:ascii="宋体" w:hAnsi="宋体" w:cs="宋体"/>
          <w:bCs/>
          <w:szCs w:val="21"/>
        </w:rPr>
        <w:t>乙方表示理解与宽容，乙方不要求甲方每月付款均按时足额到位。</w:t>
      </w:r>
    </w:p>
    <w:p>
      <w:pPr>
        <w:pStyle w:val="20"/>
        <w:numPr>
          <w:ilvl w:val="0"/>
          <w:numId w:val="6"/>
        </w:numPr>
        <w:spacing w:line="360" w:lineRule="auto"/>
        <w:ind w:firstLineChars="0"/>
        <w:rPr>
          <w:rFonts w:ascii="宋体" w:hAnsi="宋体" w:cs="宋体"/>
          <w:bCs/>
          <w:szCs w:val="21"/>
        </w:rPr>
      </w:pPr>
      <w:r>
        <w:rPr>
          <w:rFonts w:hint="eastAsia" w:ascii="宋体" w:hAnsi="宋体" w:cs="宋体"/>
          <w:bCs/>
          <w:szCs w:val="21"/>
        </w:rPr>
        <w:t>无论甲方工程款支付是否足额、是否及时，乙方承诺按时、足额支付乙方施工所</w:t>
      </w:r>
    </w:p>
    <w:p>
      <w:pPr>
        <w:pStyle w:val="20"/>
        <w:spacing w:line="360" w:lineRule="auto"/>
        <w:ind w:left="480" w:firstLine="315" w:firstLineChars="150"/>
        <w:rPr>
          <w:rFonts w:ascii="宋体" w:hAnsi="宋体" w:cs="宋体"/>
          <w:bCs/>
          <w:szCs w:val="21"/>
        </w:rPr>
      </w:pPr>
      <w:r>
        <w:rPr>
          <w:rFonts w:hint="eastAsia" w:ascii="宋体" w:hAnsi="宋体" w:cs="宋体"/>
          <w:bCs/>
          <w:szCs w:val="21"/>
        </w:rPr>
        <w:t>发生人工费，乙方收到甲方工程款时优先足额支付人工费。如乙方有拖欠人工费情</w:t>
      </w:r>
    </w:p>
    <w:p>
      <w:pPr>
        <w:pStyle w:val="20"/>
        <w:spacing w:line="360" w:lineRule="auto"/>
        <w:ind w:left="480" w:firstLine="315" w:firstLineChars="150"/>
        <w:rPr>
          <w:rFonts w:ascii="宋体" w:hAnsi="宋体" w:cs="宋体"/>
          <w:bCs/>
          <w:szCs w:val="21"/>
        </w:rPr>
      </w:pPr>
      <w:r>
        <w:rPr>
          <w:rFonts w:hint="eastAsia" w:ascii="宋体" w:hAnsi="宋体" w:cs="宋体"/>
          <w:bCs/>
          <w:szCs w:val="21"/>
        </w:rPr>
        <w:t>况发生，每发生一次甲方将对乙方处罚5万元人民币。</w:t>
      </w:r>
    </w:p>
    <w:p>
      <w:pPr>
        <w:pStyle w:val="20"/>
        <w:numPr>
          <w:ilvl w:val="0"/>
          <w:numId w:val="6"/>
        </w:numPr>
        <w:spacing w:line="360" w:lineRule="auto"/>
        <w:ind w:firstLineChars="0"/>
        <w:rPr>
          <w:rFonts w:ascii="宋体" w:hAnsi="宋体" w:cs="宋体"/>
          <w:bCs/>
          <w:szCs w:val="21"/>
        </w:rPr>
      </w:pPr>
      <w:r>
        <w:rPr>
          <w:rFonts w:hint="eastAsia" w:ascii="宋体" w:hAnsi="宋体" w:cs="宋体"/>
          <w:bCs/>
          <w:szCs w:val="21"/>
        </w:rPr>
        <w:t>乙方承诺，在甲方缓付、迟付本合同项下工程款时，乙方在任何情况下均不计取</w:t>
      </w:r>
    </w:p>
    <w:p>
      <w:pPr>
        <w:pStyle w:val="20"/>
        <w:spacing w:line="360" w:lineRule="auto"/>
        <w:ind w:left="480" w:firstLine="315" w:firstLineChars="150"/>
        <w:rPr>
          <w:rFonts w:ascii="宋体" w:hAnsi="宋体" w:cs="宋体"/>
          <w:bCs/>
          <w:szCs w:val="21"/>
        </w:rPr>
      </w:pPr>
      <w:r>
        <w:rPr>
          <w:rFonts w:hint="eastAsia" w:ascii="宋体" w:hAnsi="宋体" w:cs="宋体"/>
          <w:bCs/>
          <w:szCs w:val="21"/>
        </w:rPr>
        <w:t>利息，亦不向甲方主张支付违约金及赔偿金，且不得以缓付、迟付工程款为由停止</w:t>
      </w:r>
    </w:p>
    <w:p>
      <w:pPr>
        <w:pStyle w:val="20"/>
        <w:spacing w:line="360" w:lineRule="auto"/>
        <w:ind w:left="480" w:firstLine="315" w:firstLineChars="150"/>
        <w:rPr>
          <w:rFonts w:ascii="宋体" w:hAnsi="宋体" w:cs="宋体"/>
          <w:bCs/>
          <w:szCs w:val="21"/>
        </w:rPr>
      </w:pPr>
      <w:r>
        <w:rPr>
          <w:rFonts w:hint="eastAsia" w:ascii="宋体" w:hAnsi="宋体" w:cs="宋体"/>
          <w:bCs/>
          <w:szCs w:val="21"/>
        </w:rPr>
        <w:t>施工。</w:t>
      </w:r>
    </w:p>
    <w:p>
      <w:pPr>
        <w:pStyle w:val="20"/>
        <w:numPr>
          <w:ilvl w:val="0"/>
          <w:numId w:val="6"/>
        </w:numPr>
        <w:spacing w:line="360" w:lineRule="auto"/>
        <w:ind w:firstLineChars="0"/>
        <w:rPr>
          <w:rFonts w:ascii="宋体" w:hAnsi="宋体" w:cs="宋体"/>
          <w:bCs/>
          <w:szCs w:val="21"/>
        </w:rPr>
      </w:pPr>
      <w:bookmarkStart w:id="14" w:name="_Toc22368237"/>
      <w:r>
        <w:rPr>
          <w:rFonts w:hint="eastAsia" w:ascii="宋体" w:hAnsi="宋体" w:cs="宋体"/>
          <w:bCs/>
          <w:szCs w:val="21"/>
        </w:rPr>
        <w:t>乙方应当具备一定承担风险的能力。如果乙方承担的分包工程施工中，乙方向甲</w:t>
      </w:r>
    </w:p>
    <w:p>
      <w:pPr>
        <w:pStyle w:val="20"/>
        <w:spacing w:line="360" w:lineRule="auto"/>
        <w:ind w:left="480" w:firstLine="315" w:firstLineChars="150"/>
        <w:rPr>
          <w:rFonts w:ascii="宋体" w:hAnsi="宋体" w:cs="宋体"/>
          <w:bCs/>
          <w:szCs w:val="21"/>
        </w:rPr>
      </w:pPr>
      <w:r>
        <w:rPr>
          <w:rFonts w:hint="eastAsia" w:ascii="宋体" w:hAnsi="宋体" w:cs="宋体"/>
          <w:bCs/>
          <w:szCs w:val="21"/>
        </w:rPr>
        <w:t>方所递交的索赔要求，在甲方向业主方递交的相应索赔要求未获得批准，则乙方的</w:t>
      </w:r>
    </w:p>
    <w:p>
      <w:pPr>
        <w:pStyle w:val="20"/>
        <w:spacing w:line="360" w:lineRule="auto"/>
        <w:ind w:left="480" w:firstLine="315" w:firstLineChars="150"/>
        <w:rPr>
          <w:rFonts w:ascii="宋体" w:hAnsi="宋体" w:cs="宋体"/>
          <w:bCs/>
          <w:szCs w:val="21"/>
        </w:rPr>
      </w:pPr>
      <w:r>
        <w:rPr>
          <w:rFonts w:hint="eastAsia" w:ascii="宋体" w:hAnsi="宋体" w:cs="宋体"/>
          <w:bCs/>
          <w:szCs w:val="21"/>
        </w:rPr>
        <w:t>索赔要求亦将不会得到批准。如果因为双方合作的工程的业主方破产或出现其他不</w:t>
      </w:r>
    </w:p>
    <w:p>
      <w:pPr>
        <w:pStyle w:val="20"/>
        <w:spacing w:line="360" w:lineRule="auto"/>
        <w:ind w:left="480" w:firstLine="315" w:firstLineChars="150"/>
        <w:rPr>
          <w:rFonts w:ascii="宋体" w:hAnsi="宋体" w:cs="宋体"/>
          <w:bCs/>
          <w:szCs w:val="21"/>
        </w:rPr>
      </w:pPr>
      <w:r>
        <w:rPr>
          <w:rFonts w:hint="eastAsia" w:ascii="宋体" w:hAnsi="宋体" w:cs="宋体"/>
          <w:bCs/>
          <w:szCs w:val="21"/>
        </w:rPr>
        <w:t>可预见的因素，造成甲方已经无法全部或部分得到工程款，甲方亦将不会支付乙方</w:t>
      </w:r>
    </w:p>
    <w:p>
      <w:pPr>
        <w:pStyle w:val="20"/>
        <w:spacing w:line="360" w:lineRule="auto"/>
        <w:ind w:left="480" w:firstLine="315" w:firstLineChars="150"/>
        <w:rPr>
          <w:rFonts w:ascii="宋体" w:hAnsi="宋体" w:cs="宋体"/>
          <w:bCs/>
          <w:szCs w:val="21"/>
        </w:rPr>
      </w:pPr>
      <w:r>
        <w:rPr>
          <w:rFonts w:hint="eastAsia" w:ascii="宋体" w:hAnsi="宋体" w:cs="宋体"/>
          <w:bCs/>
          <w:szCs w:val="21"/>
        </w:rPr>
        <w:t>工程款，所造成的损失双方按照所完成的工作量的比例共同承担，即使乙方的结算</w:t>
      </w:r>
    </w:p>
    <w:p>
      <w:pPr>
        <w:pStyle w:val="20"/>
        <w:spacing w:line="360" w:lineRule="auto"/>
        <w:ind w:left="480" w:firstLine="315" w:firstLineChars="150"/>
        <w:rPr>
          <w:rFonts w:ascii="宋体" w:hAnsi="宋体" w:cs="宋体"/>
          <w:bCs/>
          <w:szCs w:val="21"/>
        </w:rPr>
      </w:pPr>
      <w:r>
        <w:rPr>
          <w:rFonts w:hint="eastAsia" w:ascii="宋体" w:hAnsi="宋体" w:cs="宋体"/>
          <w:bCs/>
          <w:szCs w:val="21"/>
        </w:rPr>
        <w:t>数额已经获得甲方的批准。</w:t>
      </w:r>
    </w:p>
    <w:p>
      <w:pPr>
        <w:pStyle w:val="20"/>
        <w:spacing w:line="360" w:lineRule="auto"/>
        <w:ind w:firstLine="0" w:firstLineChars="0"/>
        <w:rPr>
          <w:rFonts w:ascii="宋体" w:hAnsi="宋体" w:cs="宋体"/>
          <w:color w:val="FF0000"/>
          <w:szCs w:val="21"/>
        </w:rPr>
      </w:pPr>
      <w:r>
        <w:rPr>
          <w:rFonts w:hint="eastAsia" w:ascii="宋体" w:hAnsi="宋体" w:cs="宋体"/>
          <w:color w:val="FF0000"/>
          <w:szCs w:val="21"/>
        </w:rPr>
        <w:t>6.  人工费支付的特别约定</w:t>
      </w:r>
    </w:p>
    <w:p>
      <w:pPr>
        <w:spacing w:line="360" w:lineRule="auto"/>
        <w:ind w:firstLine="420" w:firstLineChars="200"/>
        <w:jc w:val="left"/>
        <w:rPr>
          <w:rFonts w:ascii="宋体" w:hAnsi="宋体"/>
          <w:color w:val="000000"/>
          <w:szCs w:val="21"/>
        </w:rPr>
      </w:pPr>
      <w:r>
        <w:rPr>
          <w:rFonts w:hint="eastAsia" w:ascii="宋体" w:hAnsi="宋体"/>
          <w:color w:val="000000"/>
          <w:szCs w:val="21"/>
          <w:lang w:val="en-US" w:eastAsia="zh-CN"/>
        </w:rPr>
        <w:t>1</w:t>
      </w:r>
      <w:r>
        <w:rPr>
          <w:rFonts w:hint="eastAsia" w:ascii="宋体" w:hAnsi="宋体"/>
          <w:szCs w:val="21"/>
        </w:rPr>
        <w:t>）</w:t>
      </w:r>
      <w:r>
        <w:rPr>
          <w:rFonts w:hint="eastAsia" w:ascii="宋体" w:hAnsi="宋体"/>
          <w:color w:val="000000"/>
          <w:szCs w:val="21"/>
        </w:rPr>
        <w:t>因乙方集结人员到甲方及其上级单位、业主单位、政府部门等处讨要人工费导致甲方支付的费用（包括超额支付的费用），由乙方承担，甲方将从乙方的结算款中扣除，结算款不足的，乙方应将不足部分支付给甲方。</w:t>
      </w:r>
    </w:p>
    <w:p>
      <w:pPr>
        <w:spacing w:line="360" w:lineRule="auto"/>
        <w:ind w:firstLine="420" w:firstLineChars="200"/>
        <w:jc w:val="left"/>
        <w:rPr>
          <w:rFonts w:ascii="宋体" w:hAnsi="宋体"/>
          <w:color w:val="000000"/>
          <w:szCs w:val="21"/>
        </w:rPr>
      </w:pPr>
      <w:r>
        <w:rPr>
          <w:rFonts w:hint="eastAsia" w:ascii="宋体" w:hAnsi="宋体"/>
          <w:color w:val="000000"/>
          <w:szCs w:val="21"/>
        </w:rPr>
        <w:t>6）本合同履行过程中，如果政府部门要求工人工资由甲方集中支付， 甲方和乙方应按照政府要求执行。</w:t>
      </w:r>
    </w:p>
    <w:p>
      <w:pPr>
        <w:pStyle w:val="2"/>
        <w:spacing w:before="12" w:beforeLines="4" w:after="12" w:afterLines="4" w:line="360" w:lineRule="auto"/>
      </w:pPr>
      <w:bookmarkStart w:id="15" w:name="_Toc20329355"/>
      <w:r>
        <w:rPr>
          <w:rFonts w:hint="eastAsia"/>
        </w:rPr>
        <w:t>第八条：</w:t>
      </w:r>
      <w:bookmarkEnd w:id="14"/>
      <w:r>
        <w:rPr>
          <w:rFonts w:hint="eastAsia"/>
        </w:rPr>
        <w:t>塔吊安拆施工工期</w:t>
      </w:r>
      <w:bookmarkEnd w:id="15"/>
    </w:p>
    <w:p>
      <w:pPr>
        <w:spacing w:line="360" w:lineRule="auto"/>
        <w:ind w:left="420" w:hanging="420" w:hangingChars="200"/>
        <w:rPr>
          <w:rFonts w:ascii="宋体" w:hAnsi="宋体"/>
          <w:szCs w:val="21"/>
        </w:rPr>
      </w:pPr>
      <w:r>
        <w:rPr>
          <w:rFonts w:hint="eastAsia" w:ascii="宋体" w:hAnsi="宋体"/>
          <w:szCs w:val="21"/>
        </w:rPr>
        <w:t>1.  塔吊安装工期：一天安装、一天顶升调试；使用中，附墙装置安装时间为半天，5节以内（含）的标准节顶升时间为半天，5节以上顶升时间为1天；如一次性顶升到最大自由高度，则两天顶升调试。</w:t>
      </w:r>
    </w:p>
    <w:p>
      <w:pPr>
        <w:spacing w:line="360" w:lineRule="auto"/>
        <w:ind w:left="420" w:hanging="420" w:hangingChars="200"/>
        <w:rPr>
          <w:rFonts w:ascii="宋体" w:hAnsi="宋体"/>
          <w:szCs w:val="21"/>
        </w:rPr>
      </w:pPr>
      <w:r>
        <w:rPr>
          <w:rFonts w:hint="eastAsia" w:ascii="宋体" w:hAnsi="宋体"/>
          <w:szCs w:val="21"/>
        </w:rPr>
        <w:t xml:space="preserve">2.  塔吊拆除退场工期：每天降塔10节、一天拆除退场。 </w:t>
      </w:r>
    </w:p>
    <w:p>
      <w:pPr>
        <w:pStyle w:val="2"/>
        <w:spacing w:before="12" w:beforeLines="4" w:after="12" w:afterLines="4" w:line="360" w:lineRule="auto"/>
      </w:pPr>
      <w:bookmarkStart w:id="16" w:name="_Toc20329356"/>
      <w:r>
        <w:rPr>
          <w:rFonts w:hint="eastAsia"/>
        </w:rPr>
        <w:t>第九条：工期延误</w:t>
      </w:r>
      <w:bookmarkEnd w:id="16"/>
    </w:p>
    <w:p>
      <w:pPr>
        <w:pStyle w:val="20"/>
        <w:numPr>
          <w:ilvl w:val="0"/>
          <w:numId w:val="7"/>
        </w:numPr>
        <w:spacing w:line="360" w:lineRule="auto"/>
        <w:ind w:firstLineChars="0"/>
        <w:rPr>
          <w:rFonts w:ascii="宋体" w:hAnsi="宋体" w:cs="宋体"/>
          <w:szCs w:val="21"/>
        </w:rPr>
      </w:pPr>
      <w:r>
        <w:rPr>
          <w:rFonts w:hint="eastAsia" w:ascii="宋体" w:hAnsi="宋体" w:cs="宋体"/>
          <w:szCs w:val="21"/>
        </w:rPr>
        <w:t>因以下任何一项原因造成乙方延误实施分包工程的，经甲方项目经理书面确认，分包工程的竣工时间相应延长：</w:t>
      </w:r>
    </w:p>
    <w:p>
      <w:pPr>
        <w:pStyle w:val="20"/>
        <w:numPr>
          <w:ilvl w:val="0"/>
          <w:numId w:val="8"/>
        </w:numPr>
        <w:spacing w:line="360" w:lineRule="auto"/>
        <w:ind w:firstLineChars="0"/>
        <w:rPr>
          <w:rFonts w:ascii="宋体" w:hAnsi="宋体" w:cs="宋体"/>
          <w:szCs w:val="21"/>
        </w:rPr>
      </w:pPr>
      <w:r>
        <w:rPr>
          <w:rFonts w:hint="eastAsia" w:ascii="宋体" w:hAnsi="宋体" w:cs="宋体"/>
          <w:szCs w:val="21"/>
        </w:rPr>
        <w:t>非乙方原因造成工程延误，而且甲方根据总包合同已经从业主获得与分包合同相关的竣工时间的延长；</w:t>
      </w:r>
    </w:p>
    <w:p>
      <w:pPr>
        <w:pStyle w:val="20"/>
        <w:numPr>
          <w:ilvl w:val="0"/>
          <w:numId w:val="8"/>
        </w:numPr>
        <w:spacing w:line="360" w:lineRule="auto"/>
        <w:ind w:firstLineChars="0"/>
        <w:rPr>
          <w:rFonts w:ascii="宋体" w:hAnsi="宋体" w:cs="宋体"/>
          <w:szCs w:val="21"/>
        </w:rPr>
      </w:pPr>
      <w:r>
        <w:rPr>
          <w:rFonts w:hint="eastAsia" w:ascii="宋体" w:hAnsi="宋体" w:cs="宋体"/>
          <w:szCs w:val="21"/>
        </w:rPr>
        <w:t>非乙方原因造成分包工程范围内的工程变更及工程量增加超过 5％；</w:t>
      </w:r>
    </w:p>
    <w:p>
      <w:pPr>
        <w:pStyle w:val="20"/>
        <w:numPr>
          <w:ilvl w:val="0"/>
          <w:numId w:val="8"/>
        </w:numPr>
        <w:spacing w:line="360" w:lineRule="auto"/>
        <w:ind w:firstLineChars="0"/>
        <w:rPr>
          <w:rFonts w:ascii="宋体" w:hAnsi="宋体" w:cs="宋体"/>
          <w:szCs w:val="21"/>
        </w:rPr>
      </w:pPr>
      <w:r>
        <w:rPr>
          <w:rFonts w:hint="eastAsia" w:ascii="宋体" w:hAnsi="宋体" w:cs="宋体"/>
          <w:szCs w:val="21"/>
        </w:rPr>
        <w:t>甲方未按约定时间提供开工条件、施工现场等造成的延误；</w:t>
      </w:r>
    </w:p>
    <w:p>
      <w:pPr>
        <w:pStyle w:val="20"/>
        <w:numPr>
          <w:ilvl w:val="0"/>
          <w:numId w:val="8"/>
        </w:numPr>
        <w:spacing w:line="360" w:lineRule="auto"/>
        <w:ind w:firstLineChars="0"/>
        <w:rPr>
          <w:rFonts w:ascii="宋体" w:hAnsi="宋体" w:cs="宋体"/>
          <w:szCs w:val="21"/>
        </w:rPr>
      </w:pPr>
      <w:r>
        <w:rPr>
          <w:rFonts w:hint="eastAsia" w:ascii="宋体" w:hAnsi="宋体" w:cs="宋体"/>
          <w:szCs w:val="21"/>
        </w:rPr>
        <w:t>甲方发出错误的指令或者延迟发出指令确认批准造成分包合同工期延误；</w:t>
      </w:r>
    </w:p>
    <w:p>
      <w:pPr>
        <w:pStyle w:val="20"/>
        <w:numPr>
          <w:ilvl w:val="0"/>
          <w:numId w:val="8"/>
        </w:numPr>
        <w:spacing w:line="360" w:lineRule="auto"/>
        <w:ind w:firstLineChars="0"/>
        <w:rPr>
          <w:rFonts w:ascii="宋体" w:hAnsi="宋体" w:cs="宋体"/>
          <w:szCs w:val="21"/>
        </w:rPr>
      </w:pPr>
      <w:r>
        <w:rPr>
          <w:rFonts w:hint="eastAsia" w:ascii="宋体" w:hAnsi="宋体" w:cs="宋体"/>
          <w:szCs w:val="21"/>
        </w:rPr>
        <w:t>不可抗力【有关定义见第九条】等其它非分包原因造成分包工程的延误；</w:t>
      </w:r>
    </w:p>
    <w:p>
      <w:pPr>
        <w:pStyle w:val="20"/>
        <w:numPr>
          <w:ilvl w:val="0"/>
          <w:numId w:val="8"/>
        </w:numPr>
        <w:spacing w:line="360" w:lineRule="auto"/>
        <w:ind w:firstLineChars="0"/>
        <w:rPr>
          <w:rFonts w:ascii="宋体" w:hAnsi="宋体" w:cs="宋体"/>
          <w:szCs w:val="21"/>
        </w:rPr>
      </w:pPr>
      <w:r>
        <w:rPr>
          <w:rFonts w:hint="eastAsia" w:ascii="宋体" w:hAnsi="宋体" w:cs="宋体"/>
          <w:szCs w:val="21"/>
        </w:rPr>
        <w:t>甲方认可的其它可以谅解的工程延误。</w:t>
      </w:r>
    </w:p>
    <w:p>
      <w:pPr>
        <w:pStyle w:val="20"/>
        <w:numPr>
          <w:ilvl w:val="0"/>
          <w:numId w:val="7"/>
        </w:numPr>
        <w:spacing w:line="360" w:lineRule="auto"/>
        <w:ind w:firstLineChars="0"/>
        <w:rPr>
          <w:rFonts w:ascii="宋体" w:hAnsi="宋体" w:cs="宋体"/>
          <w:szCs w:val="21"/>
        </w:rPr>
      </w:pPr>
      <w:r>
        <w:rPr>
          <w:rFonts w:hint="eastAsia" w:ascii="宋体" w:hAnsi="宋体" w:cs="宋体"/>
          <w:szCs w:val="21"/>
        </w:rPr>
        <w:t>乙方在上述任一事件发生后的5天内，就延误的工期以书面的形式向总包单位提出报告。如果索赔事件具有持续的影响，则分包单位应每隔5天发出一份报告，事件影响结束之日起10天内提交最终报告给甲方商务部门。甲方在收到报告后10天内就报告内容予以答复或提出修改意见，否则视为已经同意。</w:t>
      </w:r>
    </w:p>
    <w:p>
      <w:pPr>
        <w:pStyle w:val="20"/>
        <w:spacing w:line="360" w:lineRule="auto"/>
        <w:ind w:left="315" w:hanging="315" w:hangingChars="150"/>
        <w:rPr>
          <w:rFonts w:ascii="宋体" w:hAnsi="宋体" w:cs="宋体"/>
          <w:bCs/>
          <w:szCs w:val="21"/>
        </w:rPr>
      </w:pPr>
      <w:r>
        <w:rPr>
          <w:rFonts w:hint="eastAsia" w:ascii="宋体" w:hAnsi="宋体" w:cs="宋体"/>
          <w:bCs/>
          <w:color w:val="FF0000"/>
          <w:szCs w:val="21"/>
        </w:rPr>
        <w:t xml:space="preserve">3. </w:t>
      </w:r>
      <w:r>
        <w:rPr>
          <w:rFonts w:hint="eastAsia" w:ascii="宋体" w:hAnsi="宋体" w:cs="宋体"/>
          <w:bCs/>
          <w:szCs w:val="21"/>
        </w:rPr>
        <w:t xml:space="preserve"> 凡因乙方原因造成甲方工期延误，由乙方承担责任，并赔偿因此给甲方造成的一切损失（损失范围包括但不限于业主方向甲方主张的工期延误责任、甲方向乙方追偿经济损失而发生的包括但不限于诉讼费、律师费、鉴定费、差旅费等费用、以及自甲方经济损失发生之日起至乙方实际偿付之日止的人民银行同期贷款利息）。</w:t>
      </w:r>
    </w:p>
    <w:p>
      <w:pPr>
        <w:pStyle w:val="2"/>
        <w:spacing w:before="12" w:beforeLines="4" w:after="12" w:afterLines="4" w:line="360" w:lineRule="auto"/>
      </w:pPr>
      <w:bookmarkStart w:id="17" w:name="_Toc22368239"/>
      <w:bookmarkStart w:id="18" w:name="_Toc20329357"/>
      <w:r>
        <w:rPr>
          <w:rFonts w:hint="eastAsia"/>
        </w:rPr>
        <w:t>第十条：不可抗力</w:t>
      </w:r>
      <w:bookmarkEnd w:id="17"/>
      <w:bookmarkEnd w:id="18"/>
    </w:p>
    <w:p>
      <w:pPr>
        <w:pStyle w:val="20"/>
        <w:numPr>
          <w:ilvl w:val="0"/>
          <w:numId w:val="9"/>
        </w:numPr>
        <w:spacing w:line="360" w:lineRule="auto"/>
        <w:ind w:firstLineChars="0"/>
        <w:rPr>
          <w:rFonts w:ascii="宋体" w:hAnsi="宋体" w:cs="宋体"/>
          <w:szCs w:val="21"/>
        </w:rPr>
      </w:pPr>
      <w:r>
        <w:rPr>
          <w:rFonts w:hint="eastAsia" w:ascii="宋体" w:hAnsi="宋体" w:cs="宋体"/>
          <w:szCs w:val="21"/>
        </w:rPr>
        <w:t>不可抗力指业主、甲方、乙方都不可预见、不可避免、不能克服的超出一般防范能力的事件。此类事件的发生给合同一方的履约造成不可能或减弱。</w:t>
      </w:r>
    </w:p>
    <w:p>
      <w:pPr>
        <w:pStyle w:val="20"/>
        <w:numPr>
          <w:ilvl w:val="0"/>
          <w:numId w:val="9"/>
        </w:numPr>
        <w:spacing w:line="360" w:lineRule="auto"/>
        <w:ind w:firstLineChars="0"/>
        <w:rPr>
          <w:rFonts w:ascii="宋体" w:hAnsi="宋体" w:cs="宋体"/>
          <w:szCs w:val="21"/>
        </w:rPr>
      </w:pPr>
      <w:r>
        <w:rPr>
          <w:rFonts w:hint="eastAsia" w:ascii="宋体" w:hAnsi="宋体" w:cs="宋体"/>
          <w:szCs w:val="21"/>
        </w:rPr>
        <w:t>不可抗力事件发生后，乙方应立即通知甲方，并在力所能及的条件下迅速采取措施，尽量减少损失，并根据总包合同的约定处理。</w:t>
      </w:r>
    </w:p>
    <w:p>
      <w:pPr>
        <w:pStyle w:val="2"/>
        <w:spacing w:before="12" w:beforeLines="4" w:after="12" w:afterLines="4" w:line="360" w:lineRule="auto"/>
      </w:pPr>
      <w:bookmarkStart w:id="19" w:name="_Toc22368240"/>
      <w:bookmarkStart w:id="20" w:name="_Toc20329358"/>
      <w:r>
        <w:rPr>
          <w:rFonts w:hint="eastAsia"/>
        </w:rPr>
        <w:t>第十一条：变更与变更计价</w:t>
      </w:r>
      <w:bookmarkEnd w:id="19"/>
      <w:bookmarkEnd w:id="20"/>
    </w:p>
    <w:p>
      <w:pPr>
        <w:pStyle w:val="20"/>
        <w:numPr>
          <w:ilvl w:val="0"/>
          <w:numId w:val="10"/>
        </w:numPr>
        <w:spacing w:line="360" w:lineRule="auto"/>
        <w:ind w:firstLineChars="0"/>
        <w:rPr>
          <w:rFonts w:ascii="宋体" w:hAnsi="宋体" w:cs="宋体"/>
          <w:szCs w:val="21"/>
        </w:rPr>
      </w:pPr>
      <w:r>
        <w:rPr>
          <w:rFonts w:hint="eastAsia" w:ascii="宋体" w:hAnsi="宋体" w:cs="宋体"/>
          <w:szCs w:val="21"/>
        </w:rPr>
        <w:t>如果甲方认为有必要对分包工程或其中的任何部分的形式、质量、数量作出变更或调整，甲方有权指示乙方进行以下任何工作，乙方应遵照执行。该指示应该包括来自业主、设计、监理单位的设计变更、洽商、指示等。</w:t>
      </w:r>
    </w:p>
    <w:p>
      <w:pPr>
        <w:pStyle w:val="20"/>
        <w:numPr>
          <w:ilvl w:val="0"/>
          <w:numId w:val="11"/>
        </w:numPr>
        <w:spacing w:line="360" w:lineRule="auto"/>
        <w:ind w:firstLineChars="0"/>
        <w:rPr>
          <w:rFonts w:ascii="宋体" w:hAnsi="宋体" w:cs="宋体"/>
          <w:szCs w:val="21"/>
        </w:rPr>
      </w:pPr>
      <w:r>
        <w:rPr>
          <w:rFonts w:hint="eastAsia" w:ascii="宋体" w:hAnsi="宋体" w:cs="宋体"/>
          <w:szCs w:val="21"/>
        </w:rPr>
        <w:t>增加或减少合同中已经包含的工作量。</w:t>
      </w:r>
    </w:p>
    <w:p>
      <w:pPr>
        <w:pStyle w:val="20"/>
        <w:numPr>
          <w:ilvl w:val="0"/>
          <w:numId w:val="11"/>
        </w:numPr>
        <w:spacing w:line="360" w:lineRule="auto"/>
        <w:ind w:firstLineChars="0"/>
        <w:rPr>
          <w:rFonts w:ascii="宋体" w:hAnsi="宋体" w:cs="宋体"/>
          <w:szCs w:val="21"/>
        </w:rPr>
      </w:pPr>
      <w:r>
        <w:rPr>
          <w:rFonts w:hint="eastAsia" w:ascii="宋体" w:hAnsi="宋体" w:cs="宋体"/>
          <w:szCs w:val="21"/>
        </w:rPr>
        <w:t>改变工程做法、材料。</w:t>
      </w:r>
    </w:p>
    <w:p>
      <w:pPr>
        <w:pStyle w:val="20"/>
        <w:numPr>
          <w:ilvl w:val="0"/>
          <w:numId w:val="11"/>
        </w:numPr>
        <w:spacing w:line="360" w:lineRule="auto"/>
        <w:ind w:firstLineChars="0"/>
        <w:rPr>
          <w:rFonts w:ascii="宋体" w:hAnsi="宋体" w:cs="宋体"/>
          <w:szCs w:val="21"/>
        </w:rPr>
      </w:pPr>
      <w:r>
        <w:rPr>
          <w:rFonts w:hint="eastAsia" w:ascii="宋体" w:hAnsi="宋体" w:cs="宋体"/>
          <w:szCs w:val="21"/>
        </w:rPr>
        <w:t>改变分包工程任何部位的标高、位置或尺寸。</w:t>
      </w:r>
    </w:p>
    <w:p>
      <w:pPr>
        <w:pStyle w:val="20"/>
        <w:numPr>
          <w:ilvl w:val="0"/>
          <w:numId w:val="11"/>
        </w:numPr>
        <w:spacing w:line="360" w:lineRule="auto"/>
        <w:ind w:firstLineChars="0"/>
        <w:rPr>
          <w:rFonts w:ascii="宋体" w:hAnsi="宋体" w:cs="宋体"/>
          <w:szCs w:val="21"/>
        </w:rPr>
      </w:pPr>
      <w:r>
        <w:rPr>
          <w:rFonts w:hint="eastAsia" w:ascii="宋体" w:hAnsi="宋体" w:cs="宋体"/>
          <w:szCs w:val="21"/>
        </w:rPr>
        <w:t>改变施工顺序或时间安排。</w:t>
      </w:r>
    </w:p>
    <w:p>
      <w:pPr>
        <w:pStyle w:val="20"/>
        <w:numPr>
          <w:ilvl w:val="0"/>
          <w:numId w:val="11"/>
        </w:numPr>
        <w:spacing w:line="360" w:lineRule="auto"/>
        <w:ind w:firstLineChars="0"/>
        <w:rPr>
          <w:rFonts w:ascii="宋体" w:hAnsi="宋体" w:cs="宋体"/>
          <w:szCs w:val="21"/>
        </w:rPr>
      </w:pPr>
      <w:r>
        <w:rPr>
          <w:rFonts w:hint="eastAsia" w:ascii="宋体" w:hAnsi="宋体" w:cs="宋体"/>
          <w:szCs w:val="21"/>
        </w:rPr>
        <w:t>为确保工程质量和工程竣工而必需的任何附加的工作。</w:t>
      </w:r>
    </w:p>
    <w:p>
      <w:pPr>
        <w:pStyle w:val="20"/>
        <w:spacing w:line="360" w:lineRule="auto"/>
        <w:ind w:left="420" w:hanging="420" w:hangingChars="200"/>
        <w:rPr>
          <w:rFonts w:ascii="宋体" w:hAnsi="宋体" w:cs="宋体"/>
          <w:szCs w:val="21"/>
        </w:rPr>
      </w:pPr>
      <w:r>
        <w:rPr>
          <w:rFonts w:hint="eastAsia" w:ascii="宋体" w:hAnsi="宋体" w:cs="宋体"/>
          <w:color w:val="FF0000"/>
          <w:szCs w:val="21"/>
        </w:rPr>
        <w:t>2.</w:t>
      </w:r>
      <w:r>
        <w:rPr>
          <w:rFonts w:hint="eastAsia" w:ascii="宋体" w:hAnsi="宋体" w:cs="宋体"/>
          <w:szCs w:val="21"/>
        </w:rPr>
        <w:t xml:space="preserve">  上述变更指令发出后，双方应继续履行本合同，本分包合同不能因以上变更而失效或者作废。因变更而导致合同价款发生变化则按相应条款规定调整。</w:t>
      </w:r>
    </w:p>
    <w:p>
      <w:pPr>
        <w:pStyle w:val="20"/>
        <w:spacing w:line="360" w:lineRule="auto"/>
        <w:ind w:left="420" w:hanging="420" w:hangingChars="200"/>
        <w:rPr>
          <w:rFonts w:ascii="宋体" w:hAnsi="宋体" w:cs="宋体"/>
          <w:color w:val="FF0000"/>
          <w:szCs w:val="21"/>
        </w:rPr>
      </w:pPr>
      <w:r>
        <w:rPr>
          <w:rFonts w:hint="eastAsia" w:ascii="宋体" w:hAnsi="宋体" w:cs="宋体"/>
          <w:color w:val="FF0000"/>
          <w:szCs w:val="21"/>
        </w:rPr>
        <w:t>3.</w:t>
      </w:r>
      <w:r>
        <w:rPr>
          <w:rFonts w:hint="eastAsia" w:ascii="宋体" w:hAnsi="宋体" w:cs="宋体"/>
          <w:szCs w:val="21"/>
        </w:rPr>
        <w:t xml:space="preserve">  如果上述变更是因为乙方违约或分包自身原因造成甲方不得不发出变更指令，则任何此类变更后增加的费用由乙方自己承担。</w:t>
      </w:r>
    </w:p>
    <w:p>
      <w:pPr>
        <w:pStyle w:val="20"/>
        <w:spacing w:line="360" w:lineRule="auto"/>
        <w:ind w:left="420" w:hanging="420" w:hangingChars="200"/>
        <w:rPr>
          <w:rFonts w:ascii="宋体" w:hAnsi="宋体" w:cs="宋体"/>
          <w:szCs w:val="21"/>
        </w:rPr>
      </w:pPr>
      <w:r>
        <w:rPr>
          <w:rFonts w:hint="eastAsia" w:ascii="宋体" w:hAnsi="宋体" w:cs="宋体"/>
          <w:color w:val="FF0000"/>
          <w:szCs w:val="21"/>
        </w:rPr>
        <w:t>4.</w:t>
      </w:r>
      <w:r>
        <w:rPr>
          <w:rFonts w:hint="eastAsia" w:ascii="宋体" w:hAnsi="宋体" w:cs="宋体"/>
          <w:szCs w:val="21"/>
        </w:rPr>
        <w:t xml:space="preserve">  无论什么时候，乙方没有任何权利对合同工作内容提出变更，更不得在施工中擅自改变材料做法、进行未经甲方许可的施工作业。</w:t>
      </w:r>
    </w:p>
    <w:p>
      <w:pPr>
        <w:pStyle w:val="20"/>
        <w:spacing w:line="360" w:lineRule="auto"/>
        <w:ind w:firstLine="0" w:firstLineChars="0"/>
        <w:rPr>
          <w:rFonts w:ascii="宋体" w:hAnsi="宋体" w:cs="宋体"/>
          <w:szCs w:val="21"/>
        </w:rPr>
      </w:pPr>
      <w:r>
        <w:rPr>
          <w:rFonts w:hint="eastAsia" w:ascii="宋体" w:hAnsi="宋体" w:cs="宋体"/>
          <w:color w:val="FF0000"/>
          <w:szCs w:val="21"/>
        </w:rPr>
        <w:t>5.</w:t>
      </w:r>
      <w:r>
        <w:rPr>
          <w:rFonts w:hint="eastAsia" w:ascii="宋体" w:hAnsi="宋体" w:cs="宋体"/>
          <w:szCs w:val="21"/>
        </w:rPr>
        <w:t xml:space="preserve">  如果变更仅仅造成工程量发生增减，则其单价不变，仍按原合同单价执行。</w:t>
      </w:r>
    </w:p>
    <w:p>
      <w:pPr>
        <w:pStyle w:val="20"/>
        <w:spacing w:line="360" w:lineRule="auto"/>
        <w:ind w:firstLine="0" w:firstLineChars="0"/>
        <w:rPr>
          <w:rFonts w:ascii="宋体" w:hAnsi="宋体" w:cs="宋体"/>
          <w:szCs w:val="21"/>
        </w:rPr>
      </w:pPr>
      <w:r>
        <w:rPr>
          <w:rFonts w:hint="eastAsia" w:ascii="宋体" w:hAnsi="宋体" w:cs="宋体"/>
          <w:color w:val="FF0000"/>
          <w:szCs w:val="21"/>
        </w:rPr>
        <w:t xml:space="preserve">6. </w:t>
      </w:r>
      <w:r>
        <w:rPr>
          <w:rFonts w:hint="eastAsia" w:ascii="宋体" w:hAnsi="宋体" w:cs="宋体"/>
          <w:szCs w:val="21"/>
        </w:rPr>
        <w:t xml:space="preserve"> 如果合同中没有适用于变更工作的价格，则双方协商一个甲方认为合理的市场价格。</w:t>
      </w:r>
    </w:p>
    <w:p>
      <w:pPr>
        <w:pStyle w:val="2"/>
        <w:spacing w:before="12" w:beforeLines="4" w:after="12" w:afterLines="4" w:line="360" w:lineRule="auto"/>
      </w:pPr>
      <w:bookmarkStart w:id="21" w:name="_Toc22368241"/>
      <w:bookmarkStart w:id="22" w:name="_Toc20329359"/>
      <w:r>
        <w:rPr>
          <w:rFonts w:hint="eastAsia"/>
        </w:rPr>
        <w:t>第十二条：技术质量要求</w:t>
      </w:r>
      <w:bookmarkEnd w:id="21"/>
      <w:bookmarkEnd w:id="22"/>
    </w:p>
    <w:p>
      <w:pPr>
        <w:pStyle w:val="20"/>
        <w:tabs>
          <w:tab w:val="left" w:pos="312"/>
        </w:tabs>
        <w:spacing w:line="360" w:lineRule="auto"/>
        <w:ind w:firstLine="0" w:firstLineChars="0"/>
        <w:rPr>
          <w:rFonts w:ascii="宋体" w:hAnsi="宋体" w:cs="宋体"/>
          <w:szCs w:val="21"/>
        </w:rPr>
      </w:pPr>
      <w:r>
        <w:rPr>
          <w:rFonts w:hint="eastAsia" w:ascii="宋体" w:hAnsi="宋体" w:cs="宋体"/>
          <w:szCs w:val="21"/>
        </w:rPr>
        <w:t>1.  乙方安拆塔吊手续齐全，必须一次通过验收，安装质量达到优良。</w:t>
      </w:r>
    </w:p>
    <w:p>
      <w:pPr>
        <w:pStyle w:val="20"/>
        <w:tabs>
          <w:tab w:val="left" w:pos="312"/>
        </w:tabs>
        <w:spacing w:line="360" w:lineRule="auto"/>
        <w:ind w:left="420" w:hanging="420" w:hangingChars="200"/>
        <w:rPr>
          <w:rFonts w:ascii="宋体" w:hAnsi="宋体" w:cs="宋体"/>
          <w:szCs w:val="21"/>
        </w:rPr>
      </w:pPr>
      <w:r>
        <w:rPr>
          <w:rFonts w:hint="eastAsia" w:ascii="宋体" w:hAnsi="宋体" w:cs="宋体"/>
          <w:szCs w:val="21"/>
        </w:rPr>
        <w:t>2.  乙方切实熟悉现场条件和图纸资料，编制切实可行的塔吊技术方案，并要求安拆人员熟悉方案，并监督执行。</w:t>
      </w:r>
    </w:p>
    <w:p>
      <w:pPr>
        <w:pStyle w:val="20"/>
        <w:tabs>
          <w:tab w:val="left" w:pos="312"/>
        </w:tabs>
        <w:spacing w:line="360" w:lineRule="auto"/>
        <w:ind w:left="420" w:hanging="420" w:hangingChars="200"/>
        <w:rPr>
          <w:rFonts w:ascii="宋体" w:hAnsi="宋体" w:cs="宋体"/>
          <w:szCs w:val="21"/>
        </w:rPr>
      </w:pPr>
      <w:r>
        <w:rPr>
          <w:rFonts w:hint="eastAsia" w:ascii="宋体" w:hAnsi="宋体" w:cs="宋体"/>
          <w:szCs w:val="21"/>
        </w:rPr>
        <w:t>3.  乙方严格按照国家和市现行技术规范、标准、规程执行，严格按照塔吊书的要求操作。</w:t>
      </w:r>
    </w:p>
    <w:p>
      <w:pPr>
        <w:pStyle w:val="20"/>
        <w:tabs>
          <w:tab w:val="left" w:pos="312"/>
        </w:tabs>
        <w:spacing w:line="360" w:lineRule="auto"/>
        <w:ind w:firstLine="0" w:firstLineChars="0"/>
        <w:rPr>
          <w:rFonts w:ascii="宋体" w:hAnsi="宋体" w:cs="宋体"/>
          <w:szCs w:val="21"/>
        </w:rPr>
      </w:pPr>
      <w:r>
        <w:rPr>
          <w:rFonts w:hint="eastAsia" w:ascii="宋体" w:hAnsi="宋体" w:cs="宋体"/>
          <w:szCs w:val="21"/>
        </w:rPr>
        <w:t xml:space="preserve">     《建筑机械使用安全技术规程》    （JGJ33-2012）</w:t>
      </w:r>
    </w:p>
    <w:p>
      <w:pPr>
        <w:pStyle w:val="20"/>
        <w:tabs>
          <w:tab w:val="left" w:pos="312"/>
        </w:tabs>
        <w:spacing w:line="360" w:lineRule="auto"/>
        <w:ind w:left="420" w:hanging="420" w:hangingChars="200"/>
        <w:rPr>
          <w:rFonts w:ascii="宋体" w:hAnsi="宋体" w:cs="宋体"/>
          <w:szCs w:val="21"/>
        </w:rPr>
      </w:pPr>
      <w:r>
        <w:rPr>
          <w:rFonts w:hint="eastAsia" w:ascii="宋体" w:hAnsi="宋体" w:cs="宋体"/>
          <w:szCs w:val="21"/>
        </w:rPr>
        <w:t>4.  乙方在施工现场必须配备专业机械工程师，甲方在施工现场配备专业工程师对塔吊过程进行监督和检查。对于工作中存在的问题乙方应及时提出纠正方案并予以纠正，不能以任何理由拒绝甲方专业工程师的检查，否则甲方有权下令停工，由此产生的损失由乙方承担。</w:t>
      </w:r>
    </w:p>
    <w:p>
      <w:pPr>
        <w:pStyle w:val="2"/>
        <w:spacing w:before="12" w:beforeLines="4" w:after="12" w:afterLines="4" w:line="360" w:lineRule="auto"/>
      </w:pPr>
      <w:bookmarkStart w:id="23" w:name="_Toc481553762"/>
      <w:bookmarkStart w:id="24" w:name="_Toc22368243"/>
      <w:bookmarkStart w:id="25" w:name="_Toc20329360"/>
      <w:bookmarkStart w:id="26" w:name="_Toc481553758"/>
      <w:r>
        <w:rPr>
          <w:rFonts w:hint="eastAsia"/>
        </w:rPr>
        <w:t>第十三条：现场及人员管理</w:t>
      </w:r>
      <w:bookmarkEnd w:id="23"/>
      <w:bookmarkEnd w:id="24"/>
      <w:bookmarkEnd w:id="25"/>
    </w:p>
    <w:p>
      <w:pPr>
        <w:pStyle w:val="20"/>
        <w:numPr>
          <w:ilvl w:val="0"/>
          <w:numId w:val="12"/>
        </w:numPr>
        <w:spacing w:line="360" w:lineRule="auto"/>
        <w:ind w:firstLineChars="0"/>
        <w:rPr>
          <w:rFonts w:ascii="宋体" w:hAnsi="宋体" w:cs="宋体"/>
          <w:szCs w:val="21"/>
        </w:rPr>
      </w:pPr>
      <w:r>
        <w:rPr>
          <w:rFonts w:hint="eastAsia" w:ascii="宋体" w:hAnsi="宋体" w:cs="宋体"/>
          <w:szCs w:val="21"/>
        </w:rPr>
        <w:t>乙方应遵守国家、行业、地方以及甲方有关现场安全文明施工的各项管理规定，在设施的投入、现场的布置等各方面严格按照甲方的规定，并符合甲方的CI要求。</w:t>
      </w:r>
    </w:p>
    <w:p>
      <w:pPr>
        <w:pStyle w:val="20"/>
        <w:numPr>
          <w:ilvl w:val="0"/>
          <w:numId w:val="12"/>
        </w:numPr>
        <w:spacing w:line="360" w:lineRule="auto"/>
        <w:ind w:firstLineChars="0"/>
        <w:rPr>
          <w:rFonts w:ascii="宋体" w:hAnsi="宋体" w:cs="宋体"/>
          <w:szCs w:val="21"/>
        </w:rPr>
      </w:pPr>
      <w:r>
        <w:rPr>
          <w:rFonts w:hint="eastAsia" w:ascii="宋体" w:hAnsi="宋体" w:cs="宋体"/>
          <w:szCs w:val="21"/>
        </w:rPr>
        <w:t>现场施工人员必须统一着装，统一配戴安全帽及胸卡。施工人员须持证进出现场。</w:t>
      </w:r>
    </w:p>
    <w:p>
      <w:pPr>
        <w:pStyle w:val="20"/>
        <w:numPr>
          <w:ilvl w:val="0"/>
          <w:numId w:val="12"/>
        </w:numPr>
        <w:spacing w:line="360" w:lineRule="auto"/>
        <w:ind w:firstLineChars="0"/>
        <w:rPr>
          <w:rFonts w:ascii="宋体" w:hAnsi="宋体" w:cs="宋体"/>
          <w:szCs w:val="21"/>
        </w:rPr>
      </w:pPr>
      <w:r>
        <w:rPr>
          <w:rFonts w:hint="eastAsia" w:ascii="宋体" w:hAnsi="宋体" w:cs="宋体"/>
          <w:szCs w:val="21"/>
        </w:rPr>
        <w:t>现场不允许出现宣传乙方单位的标识、标语。</w:t>
      </w:r>
    </w:p>
    <w:p>
      <w:pPr>
        <w:pStyle w:val="20"/>
        <w:numPr>
          <w:ilvl w:val="0"/>
          <w:numId w:val="12"/>
        </w:numPr>
        <w:spacing w:line="360" w:lineRule="auto"/>
        <w:ind w:firstLineChars="0"/>
        <w:rPr>
          <w:rFonts w:ascii="宋体" w:hAnsi="宋体" w:cs="宋体"/>
          <w:szCs w:val="21"/>
          <w:u w:val="double"/>
        </w:rPr>
      </w:pPr>
      <w:r>
        <w:rPr>
          <w:rFonts w:hint="eastAsia" w:ascii="宋体" w:hAnsi="宋体" w:cs="宋体"/>
          <w:szCs w:val="21"/>
        </w:rPr>
        <w:t>乙方应该采取一切合理的措施防止其人员发生任何违法犯罪或妨害社会治安和公共安全的行为，并有完全的责任和义务保护周围其他人员和财产免受上述行为的危害，由此造成一切后果由乙方负责。</w:t>
      </w:r>
    </w:p>
    <w:p>
      <w:pPr>
        <w:pStyle w:val="20"/>
        <w:numPr>
          <w:ilvl w:val="0"/>
          <w:numId w:val="12"/>
        </w:numPr>
        <w:spacing w:line="360" w:lineRule="auto"/>
        <w:ind w:firstLineChars="0"/>
        <w:rPr>
          <w:rFonts w:ascii="宋体" w:hAnsi="宋体" w:cs="宋体"/>
          <w:szCs w:val="21"/>
          <w:u w:val="double"/>
        </w:rPr>
      </w:pPr>
      <w:r>
        <w:rPr>
          <w:rFonts w:hint="eastAsia" w:ascii="宋体" w:hAnsi="宋体" w:cs="宋体"/>
          <w:szCs w:val="21"/>
        </w:rPr>
        <w:t>严格遵守有关消防、保卫、交通安全、环卫社会治安方面的规定。凡是由于乙方在上述要求贯彻执行不得力而造成的一切事故、灾害，其经济及法律责任由乙方独自承担。由此造成甲方的损失由乙方赔偿，此外甲方有权对其进行处罚。</w:t>
      </w:r>
    </w:p>
    <w:p>
      <w:pPr>
        <w:pStyle w:val="2"/>
        <w:spacing w:before="12" w:beforeLines="4" w:after="12" w:afterLines="4" w:line="360" w:lineRule="auto"/>
      </w:pPr>
      <w:bookmarkStart w:id="27" w:name="_Toc20329361"/>
      <w:bookmarkStart w:id="28" w:name="_Toc22368244"/>
      <w:r>
        <w:rPr>
          <w:rFonts w:hint="eastAsia"/>
        </w:rPr>
        <w:t>第十四条：甲方</w:t>
      </w:r>
      <w:bookmarkEnd w:id="26"/>
      <w:r>
        <w:rPr>
          <w:rFonts w:hint="eastAsia"/>
        </w:rPr>
        <w:t>一般职责</w:t>
      </w:r>
      <w:bookmarkEnd w:id="27"/>
      <w:bookmarkEnd w:id="28"/>
    </w:p>
    <w:p>
      <w:pPr>
        <w:pStyle w:val="20"/>
        <w:numPr>
          <w:ilvl w:val="0"/>
          <w:numId w:val="13"/>
        </w:numPr>
        <w:spacing w:line="360" w:lineRule="auto"/>
        <w:ind w:firstLineChars="0"/>
        <w:rPr>
          <w:rFonts w:ascii="宋体" w:hAnsi="宋体" w:cs="宋体"/>
          <w:szCs w:val="21"/>
          <w:u w:val="single"/>
        </w:rPr>
      </w:pPr>
      <w:r>
        <w:rPr>
          <w:rFonts w:hint="eastAsia" w:ascii="宋体" w:hAnsi="宋体" w:cs="宋体"/>
          <w:szCs w:val="21"/>
        </w:rPr>
        <w:t>甲方驻现场代表【项目经理】姓名：</w:t>
      </w:r>
      <w:r>
        <w:rPr>
          <w:rFonts w:hint="eastAsia" w:ascii="宋体" w:hAnsi="宋体" w:cs="宋体"/>
          <w:szCs w:val="21"/>
          <w:lang w:val="en-US" w:eastAsia="zh-CN"/>
        </w:rPr>
        <w:t xml:space="preserve">           </w:t>
      </w:r>
      <w:r>
        <w:rPr>
          <w:rFonts w:hint="eastAsia" w:ascii="宋体" w:hAnsi="宋体" w:cs="宋体"/>
          <w:szCs w:val="21"/>
        </w:rPr>
        <w:t>，电话：</w:t>
      </w:r>
      <w:r>
        <w:rPr>
          <w:rFonts w:hint="eastAsia" w:ascii="宋体" w:hAnsi="宋体" w:cs="宋体"/>
          <w:szCs w:val="21"/>
          <w:lang w:val="en-US" w:eastAsia="zh-CN"/>
        </w:rPr>
        <w:t xml:space="preserve">              </w:t>
      </w:r>
      <w:r>
        <w:rPr>
          <w:rFonts w:hint="eastAsia" w:ascii="宋体" w:hAnsi="宋体" w:cs="宋体"/>
          <w:szCs w:val="21"/>
        </w:rPr>
        <w:t xml:space="preserve"> 。</w:t>
      </w:r>
    </w:p>
    <w:p>
      <w:pPr>
        <w:pStyle w:val="20"/>
        <w:numPr>
          <w:ilvl w:val="0"/>
          <w:numId w:val="13"/>
        </w:numPr>
        <w:spacing w:line="360" w:lineRule="auto"/>
        <w:ind w:firstLineChars="0"/>
        <w:rPr>
          <w:rFonts w:ascii="宋体" w:hAnsi="宋体" w:cs="宋体"/>
          <w:szCs w:val="21"/>
        </w:rPr>
      </w:pPr>
      <w:bookmarkStart w:id="29" w:name="_Toc481553759"/>
      <w:bookmarkStart w:id="30" w:name="_Toc22368245"/>
      <w:r>
        <w:rPr>
          <w:rFonts w:hint="eastAsia" w:ascii="宋体" w:hAnsi="宋体" w:cs="宋体"/>
          <w:szCs w:val="21"/>
        </w:rPr>
        <w:t>为乙方人员熟悉现场创造条件，并提供相应图纸。</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对乙方编制的塔吊、附着、顶升包括塔吊基础施工方案中涉及塔吊使用及现场配合部分进行审核。</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按出租方和乙方技术方案的要求，进行塔吊枕木以下路基/固定式塔吊基础地面及砼基础施工（钢筋绑扎、砼浇注）。向乙方提供塔吊安装位置地质条件、混凝土强度报告及隐蔽工程验收记录等资料。</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提供满足塔吊正常使用所需的专用二级电箱，电源箱距离塔吊中心不超过5米，并最大可能的离塔吊距离近，塔吊的专用三级电箱由乙方负责提供，且乙方提供的专用电箱的配置及安置应符合国家的相关规定及规范。</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为保证塔吊进场，甲方应提前2天通知乙方进场安装。</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甲方负责塔吊半径工作范围内已有建筑物及高压线设施的防护，乙方负责塔吊工作范围内的安全防护，保证达到相关标准。</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甲方指派专人在现场协调，监督乙方的安全生产、文明施工。</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甲方创造夜间施工条件，满足夜间施工安全要求。</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 xml:space="preserve"> 塔吊附着所需埋件或孔洞由甲方制作并施工、验收，如穿墙螺栓或抱柱螺栓可回收，则乙方应按制作费用的30%回收；施工现场的焊接工作，由甲方施工，乙方提供技术指导及质量验收，并且乙方承担相关质量及安全责任。附着焊接埋件使用完毕后的清理工作由甲方负责。</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 xml:space="preserve">甲方负责提供吊钩以下的吊具、索具、扁担，吊钩以上部分均由乙方提供，安全责任由各自承担。 </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如塔吊为内爬式塔吊，内爬塔吊的支撑钢梁的制作由甲方负责。内爬支撑钢梁与埋件的焊接由甲方负责，埋件由甲方提供。乙方提供技术指导及质量验收，并且乙方承担相关质量及安全责任。焊接埋件使用完毕后的清理工作由甲方负责。</w:t>
      </w:r>
    </w:p>
    <w:p>
      <w:pPr>
        <w:pStyle w:val="20"/>
        <w:numPr>
          <w:ilvl w:val="0"/>
          <w:numId w:val="13"/>
        </w:numPr>
        <w:spacing w:line="360" w:lineRule="auto"/>
        <w:ind w:firstLineChars="0"/>
        <w:rPr>
          <w:rFonts w:ascii="宋体" w:hAnsi="宋体" w:cs="宋体"/>
          <w:szCs w:val="21"/>
        </w:rPr>
      </w:pPr>
      <w:r>
        <w:rPr>
          <w:rFonts w:hint="eastAsia" w:ascii="宋体" w:hAnsi="宋体" w:cs="宋体"/>
          <w:szCs w:val="21"/>
        </w:rPr>
        <w:t>内爬塔拆除若使用屋面吊，屋面吊的费用双方协商另议。但屋面吊与建筑物的埋件由甲方提供，并负责焊接加固。</w:t>
      </w:r>
    </w:p>
    <w:p>
      <w:pPr>
        <w:pStyle w:val="2"/>
        <w:spacing w:before="12" w:beforeLines="4" w:after="12" w:afterLines="4" w:line="360" w:lineRule="auto"/>
      </w:pPr>
      <w:bookmarkStart w:id="31" w:name="_Toc20329362"/>
      <w:r>
        <w:rPr>
          <w:rFonts w:hint="eastAsia"/>
        </w:rPr>
        <w:t>第十五条：乙方</w:t>
      </w:r>
      <w:bookmarkEnd w:id="29"/>
      <w:r>
        <w:rPr>
          <w:rFonts w:hint="eastAsia"/>
        </w:rPr>
        <w:t>一般职责</w:t>
      </w:r>
      <w:bookmarkEnd w:id="30"/>
      <w:bookmarkEnd w:id="31"/>
    </w:p>
    <w:p>
      <w:pPr>
        <w:pStyle w:val="20"/>
        <w:numPr>
          <w:ilvl w:val="0"/>
          <w:numId w:val="14"/>
        </w:numPr>
        <w:spacing w:line="360" w:lineRule="auto"/>
        <w:ind w:firstLineChars="0"/>
        <w:rPr>
          <w:rFonts w:ascii="宋体" w:hAnsi="宋体" w:cs="宋体"/>
          <w:szCs w:val="21"/>
        </w:rPr>
      </w:pPr>
      <w:r>
        <w:rPr>
          <w:rFonts w:hint="eastAsia" w:ascii="宋体" w:hAnsi="宋体" w:cs="宋体"/>
          <w:szCs w:val="21"/>
        </w:rPr>
        <w:t>乙方驻现场代表【项目经理】姓 名</w:t>
      </w:r>
      <w:r>
        <w:rPr>
          <w:rFonts w:hint="eastAsia" w:ascii="宋体" w:hAnsi="宋体" w:cs="宋体"/>
          <w:szCs w:val="21"/>
          <w:lang w:val="en-US" w:eastAsia="zh-CN"/>
        </w:rPr>
        <w:t xml:space="preserve">                      </w:t>
      </w:r>
      <w:r>
        <w:rPr>
          <w:rFonts w:hint="eastAsia" w:ascii="宋体" w:hAnsi="宋体" w:cs="宋体"/>
          <w:szCs w:val="21"/>
        </w:rPr>
        <w:t>：，电话</w:t>
      </w:r>
      <w:r>
        <w:rPr>
          <w:rFonts w:hint="eastAsia" w:ascii="宋体" w:hAnsi="宋体" w:cs="宋体"/>
          <w:szCs w:val="21"/>
          <w:lang w:val="en-US" w:eastAsia="zh-CN"/>
        </w:rPr>
        <w:t xml:space="preserve">               </w:t>
      </w:r>
      <w:r>
        <w:rPr>
          <w:rFonts w:hint="eastAsia" w:ascii="宋体" w:hAnsi="宋体" w:cs="宋体"/>
          <w:szCs w:val="21"/>
        </w:rPr>
        <w:t>：。</w:t>
      </w:r>
    </w:p>
    <w:p>
      <w:pPr>
        <w:pStyle w:val="20"/>
        <w:numPr>
          <w:ilvl w:val="0"/>
          <w:numId w:val="14"/>
        </w:numPr>
        <w:spacing w:line="360" w:lineRule="auto"/>
        <w:ind w:firstLineChars="0"/>
        <w:rPr>
          <w:rFonts w:ascii="宋体" w:hAnsi="宋体" w:cs="宋体"/>
          <w:szCs w:val="21"/>
        </w:rPr>
      </w:pPr>
      <w:bookmarkStart w:id="32" w:name="_Toc22368246"/>
      <w:r>
        <w:rPr>
          <w:rFonts w:hint="eastAsia" w:ascii="宋体" w:hAnsi="宋体" w:cs="宋体"/>
          <w:szCs w:val="21"/>
        </w:rPr>
        <w:t>熟悉施工现场，根据施工现场条件和甲方使用要求，编制塔吊、附着、顶升及基础预埋施工方案，经乙方单位技术负责人审核、签字后加盖单位公章。</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与出租方、甲方有关人员共同对塔吊基础进行验收。验收合格后，严格按照审定的施工技术方案进行施工。塔吊雷和接地乙方负责完成，费用乙方承担。</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在甲方要求的时间内及时进场安装，委派经验丰富的安装工长现场负责工期控制和质量控制。</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乙方负责对操作人员的安全技术交底。乙方人员进入甲方现场应统一着装，严格遵守现场规章制度，听从甲方指挥、安排。做好现场安全作业防护，落实防护区内严禁无关人员进入。</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严格执行北京市建设委员会京建施[2007]1332号发文“关于进一步加强建筑施工起重机安全使用管理的通知”、京建施【2008】368号“北京市建筑起重机械安全管理规定”及中华人民共和国建设部令第166号“建筑起重机械安全监督管理规定”发文，配合塔吊的出租方委托的检测机构对塔吊进行检测，对检测机构发出的整改通知督促出租方及时整改、消项。合格后与乙方、出租方、使用方共同对塔吊进行全面验收，并办理相应手续。</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塔吊（包括附着顶升）完毕后，乙方按照有关技术规范及出厂说明书要求对起重机械进行检验和调试，达到要求，向甲方出具自检合格证明。</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参与甲方组织的使用交接验收，并积极配合甲方在建委的使用登记工作。</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乙方在施工前应向甲方提供加盖公章且有效的营业执照、安拆资质证书、安全生产许可证、特殊工种操作证、辅助起重机械定期检验证明、市建委审发的各种有效证件的复印件及经乙方技术负责人审批的方案和技术措施等相关的文件资料，供甲方留存。</w:t>
      </w:r>
    </w:p>
    <w:p>
      <w:pPr>
        <w:pStyle w:val="20"/>
        <w:numPr>
          <w:ilvl w:val="0"/>
          <w:numId w:val="14"/>
        </w:numPr>
        <w:spacing w:line="360" w:lineRule="auto"/>
        <w:ind w:firstLineChars="0"/>
        <w:rPr>
          <w:rFonts w:ascii="宋体" w:hAnsi="宋体" w:cs="宋体"/>
          <w:szCs w:val="21"/>
        </w:rPr>
      </w:pPr>
      <w:r>
        <w:rPr>
          <w:rFonts w:hint="eastAsia" w:ascii="宋体" w:hAnsi="宋体" w:cs="宋体"/>
          <w:szCs w:val="21"/>
        </w:rPr>
        <w:t>乙方承诺应对上述承包范围内的生产安全负责，并承担因此造成的损失。</w:t>
      </w:r>
    </w:p>
    <w:bookmarkEnd w:id="32"/>
    <w:p>
      <w:pPr>
        <w:pStyle w:val="2"/>
        <w:spacing w:before="12" w:beforeLines="4" w:after="12" w:afterLines="4" w:line="360" w:lineRule="auto"/>
      </w:pPr>
      <w:bookmarkStart w:id="33" w:name="_Toc20329363"/>
      <w:bookmarkStart w:id="34" w:name="_Toc22368247"/>
      <w:r>
        <w:rPr>
          <w:rFonts w:hint="eastAsia"/>
        </w:rPr>
        <w:t>第十六条：环保与职业安全</w:t>
      </w:r>
      <w:bookmarkEnd w:id="33"/>
      <w:bookmarkEnd w:id="34"/>
    </w:p>
    <w:p>
      <w:pPr>
        <w:pStyle w:val="20"/>
        <w:spacing w:line="360" w:lineRule="auto"/>
        <w:ind w:firstLine="0" w:firstLineChars="0"/>
        <w:rPr>
          <w:rFonts w:ascii="宋体" w:hAnsi="宋体" w:cs="宋体"/>
          <w:kern w:val="16"/>
          <w:szCs w:val="21"/>
        </w:rPr>
      </w:pPr>
      <w:r>
        <w:rPr>
          <w:rFonts w:hint="eastAsia" w:ascii="宋体" w:hAnsi="宋体" w:cs="宋体"/>
          <w:szCs w:val="21"/>
        </w:rPr>
        <w:t>【详见环保协议与安全协议】</w:t>
      </w:r>
    </w:p>
    <w:p>
      <w:pPr>
        <w:pStyle w:val="20"/>
        <w:numPr>
          <w:ilvl w:val="0"/>
          <w:numId w:val="15"/>
        </w:numPr>
        <w:spacing w:line="360" w:lineRule="auto"/>
        <w:ind w:firstLineChars="0"/>
        <w:rPr>
          <w:rFonts w:ascii="宋体" w:hAnsi="宋体" w:cs="宋体"/>
          <w:kern w:val="16"/>
          <w:szCs w:val="21"/>
        </w:rPr>
      </w:pPr>
      <w:r>
        <w:rPr>
          <w:rFonts w:hint="eastAsia" w:ascii="宋体" w:hAnsi="宋体" w:cs="宋体"/>
          <w:szCs w:val="21"/>
        </w:rPr>
        <w:t>本合同双方应共同遵守国家和地方有关的环境保护的法律、法规，努力营造绿色建筑。</w:t>
      </w:r>
    </w:p>
    <w:p>
      <w:pPr>
        <w:pStyle w:val="20"/>
        <w:numPr>
          <w:ilvl w:val="0"/>
          <w:numId w:val="15"/>
        </w:numPr>
        <w:spacing w:line="360" w:lineRule="auto"/>
        <w:ind w:firstLineChars="0"/>
        <w:rPr>
          <w:rFonts w:ascii="宋体" w:hAnsi="宋体" w:cs="宋体"/>
          <w:szCs w:val="21"/>
        </w:rPr>
      </w:pPr>
      <w:r>
        <w:rPr>
          <w:rFonts w:hint="eastAsia" w:ascii="宋体" w:hAnsi="宋体" w:cs="宋体"/>
          <w:szCs w:val="21"/>
        </w:rPr>
        <w:t>乙方在施工作业过程中满足甲方制定并经国家权威部门认证的ISO14001和OHSAS18001的要求，保证施工生产符合相关标准的要求。</w:t>
      </w:r>
    </w:p>
    <w:p>
      <w:pPr>
        <w:pStyle w:val="20"/>
        <w:numPr>
          <w:ilvl w:val="0"/>
          <w:numId w:val="15"/>
        </w:numPr>
        <w:spacing w:line="360" w:lineRule="auto"/>
        <w:ind w:firstLineChars="0"/>
        <w:rPr>
          <w:rFonts w:ascii="宋体" w:hAnsi="宋体" w:cs="宋体"/>
          <w:szCs w:val="21"/>
        </w:rPr>
      </w:pPr>
      <w:r>
        <w:rPr>
          <w:rFonts w:hint="eastAsia" w:ascii="宋体" w:hAnsi="宋体" w:cs="宋体"/>
          <w:szCs w:val="21"/>
        </w:rPr>
        <w:t>乙方进驻现场员工需接受ISO14001环境管理、OHSAS18000职业安全卫生知识的教育培训。</w:t>
      </w:r>
    </w:p>
    <w:p>
      <w:pPr>
        <w:pStyle w:val="20"/>
        <w:numPr>
          <w:ilvl w:val="0"/>
          <w:numId w:val="15"/>
        </w:numPr>
        <w:spacing w:line="360" w:lineRule="auto"/>
        <w:ind w:firstLineChars="0"/>
        <w:rPr>
          <w:rFonts w:ascii="宋体" w:hAnsi="宋体" w:cs="宋体"/>
          <w:szCs w:val="21"/>
        </w:rPr>
      </w:pPr>
      <w:r>
        <w:rPr>
          <w:rFonts w:hint="eastAsia" w:ascii="宋体" w:hAnsi="宋体" w:cs="宋体"/>
          <w:szCs w:val="21"/>
        </w:rPr>
        <w:t>乙方须采取有效措施，防止运输机械噪声超标或机械漏油污染环境。运输车辆要定期进行噪音检测。对于不符合要求的机械要及时采取必要的措施。</w:t>
      </w:r>
    </w:p>
    <w:p>
      <w:pPr>
        <w:pStyle w:val="20"/>
        <w:numPr>
          <w:ilvl w:val="0"/>
          <w:numId w:val="15"/>
        </w:numPr>
        <w:spacing w:line="360" w:lineRule="auto"/>
        <w:ind w:firstLineChars="0"/>
        <w:rPr>
          <w:rFonts w:ascii="宋体" w:hAnsi="宋体" w:cs="宋体"/>
          <w:szCs w:val="21"/>
        </w:rPr>
      </w:pPr>
      <w:r>
        <w:rPr>
          <w:rFonts w:hint="eastAsia" w:ascii="宋体" w:hAnsi="宋体" w:cs="宋体"/>
          <w:szCs w:val="21"/>
        </w:rPr>
        <w:t>车辆进入现场禁止鸣笛。</w:t>
      </w:r>
    </w:p>
    <w:p>
      <w:pPr>
        <w:pStyle w:val="2"/>
        <w:spacing w:before="12" w:beforeLines="4" w:after="12" w:afterLines="4" w:line="360" w:lineRule="auto"/>
        <w:rPr>
          <w:color w:val="FF0000"/>
        </w:rPr>
      </w:pPr>
      <w:bookmarkStart w:id="35" w:name="_Toc481553755"/>
      <w:bookmarkStart w:id="36" w:name="_Toc22368249"/>
      <w:bookmarkStart w:id="37" w:name="_Toc20329364"/>
      <w:r>
        <w:rPr>
          <w:rFonts w:hint="eastAsia"/>
          <w:color w:val="FF0000"/>
        </w:rPr>
        <w:t>第十七条：合同文件</w:t>
      </w:r>
      <w:bookmarkEnd w:id="35"/>
      <w:r>
        <w:rPr>
          <w:rFonts w:hint="eastAsia"/>
          <w:color w:val="FF0000"/>
        </w:rPr>
        <w:t>组成与解释顺序</w:t>
      </w:r>
      <w:bookmarkEnd w:id="36"/>
      <w:bookmarkEnd w:id="37"/>
    </w:p>
    <w:p>
      <w:pPr>
        <w:pStyle w:val="20"/>
        <w:numPr>
          <w:ilvl w:val="0"/>
          <w:numId w:val="16"/>
        </w:numPr>
        <w:spacing w:line="360" w:lineRule="auto"/>
        <w:ind w:firstLineChars="0"/>
        <w:rPr>
          <w:rFonts w:ascii="宋体" w:hAnsi="宋体" w:cs="宋体"/>
          <w:szCs w:val="21"/>
        </w:rPr>
      </w:pPr>
      <w:r>
        <w:rPr>
          <w:rFonts w:hint="eastAsia" w:ascii="宋体" w:hAnsi="宋体" w:cs="宋体"/>
          <w:szCs w:val="21"/>
        </w:rPr>
        <w:t>补充协议书[若有时]</w:t>
      </w:r>
    </w:p>
    <w:p>
      <w:pPr>
        <w:pStyle w:val="20"/>
        <w:numPr>
          <w:ilvl w:val="0"/>
          <w:numId w:val="16"/>
        </w:numPr>
        <w:spacing w:line="360" w:lineRule="auto"/>
        <w:ind w:firstLineChars="0"/>
        <w:rPr>
          <w:rFonts w:ascii="宋体" w:hAnsi="宋体" w:cs="宋体"/>
          <w:szCs w:val="21"/>
        </w:rPr>
      </w:pPr>
      <w:r>
        <w:rPr>
          <w:rFonts w:hint="eastAsia" w:ascii="宋体" w:hAnsi="宋体" w:cs="宋体"/>
          <w:szCs w:val="21"/>
        </w:rPr>
        <w:t>本分包合同书及附件</w:t>
      </w:r>
    </w:p>
    <w:p>
      <w:pPr>
        <w:pStyle w:val="20"/>
        <w:numPr>
          <w:ilvl w:val="0"/>
          <w:numId w:val="16"/>
        </w:numPr>
        <w:spacing w:line="360" w:lineRule="auto"/>
        <w:ind w:firstLineChars="0"/>
        <w:rPr>
          <w:rFonts w:ascii="宋体" w:hAnsi="宋体" w:cs="宋体"/>
          <w:szCs w:val="21"/>
        </w:rPr>
      </w:pPr>
      <w:r>
        <w:rPr>
          <w:rFonts w:hint="eastAsia" w:ascii="宋体" w:hAnsi="宋体" w:cs="宋体"/>
          <w:szCs w:val="21"/>
        </w:rPr>
        <w:t>明确双方职责的会议纪要、往来函件</w:t>
      </w:r>
    </w:p>
    <w:p>
      <w:pPr>
        <w:pStyle w:val="20"/>
        <w:numPr>
          <w:ilvl w:val="0"/>
          <w:numId w:val="16"/>
        </w:numPr>
        <w:spacing w:line="360" w:lineRule="auto"/>
        <w:ind w:firstLineChars="0"/>
        <w:rPr>
          <w:rFonts w:ascii="宋体" w:hAnsi="宋体" w:cs="宋体"/>
          <w:szCs w:val="21"/>
        </w:rPr>
      </w:pPr>
      <w:r>
        <w:rPr>
          <w:rFonts w:hint="eastAsia" w:ascii="宋体" w:hAnsi="宋体" w:cs="宋体"/>
          <w:szCs w:val="21"/>
        </w:rPr>
        <w:t>甲方制定的施工方案</w:t>
      </w:r>
    </w:p>
    <w:p>
      <w:pPr>
        <w:pStyle w:val="20"/>
        <w:numPr>
          <w:ilvl w:val="0"/>
          <w:numId w:val="16"/>
        </w:numPr>
        <w:spacing w:line="360" w:lineRule="auto"/>
        <w:ind w:firstLineChars="0"/>
        <w:rPr>
          <w:rFonts w:ascii="宋体" w:hAnsi="宋体" w:cs="宋体"/>
          <w:szCs w:val="21"/>
        </w:rPr>
      </w:pPr>
      <w:r>
        <w:rPr>
          <w:rFonts w:hint="eastAsia" w:ascii="宋体" w:hAnsi="宋体" w:cs="宋体"/>
          <w:szCs w:val="21"/>
        </w:rPr>
        <w:t>本合同所列规范、标准</w:t>
      </w:r>
    </w:p>
    <w:p>
      <w:pPr>
        <w:pStyle w:val="2"/>
        <w:spacing w:before="12" w:beforeLines="4" w:after="12" w:afterLines="4" w:line="360" w:lineRule="auto"/>
        <w:rPr>
          <w:color w:val="FF0000"/>
        </w:rPr>
      </w:pPr>
      <w:bookmarkStart w:id="38" w:name="_Toc22368250"/>
      <w:bookmarkStart w:id="39" w:name="_Toc20329365"/>
      <w:bookmarkStart w:id="40" w:name="_Toc481553756"/>
      <w:r>
        <w:rPr>
          <w:rFonts w:hint="eastAsia"/>
          <w:color w:val="FF0000"/>
        </w:rPr>
        <w:t>第十八条：合同使用的语言文字及适用法律</w:t>
      </w:r>
      <w:bookmarkEnd w:id="38"/>
      <w:bookmarkEnd w:id="39"/>
      <w:bookmarkEnd w:id="40"/>
    </w:p>
    <w:p>
      <w:pPr>
        <w:pStyle w:val="20"/>
        <w:numPr>
          <w:ilvl w:val="0"/>
          <w:numId w:val="17"/>
        </w:numPr>
        <w:spacing w:line="360" w:lineRule="auto"/>
        <w:ind w:firstLineChars="0"/>
        <w:rPr>
          <w:rFonts w:ascii="宋体" w:hAnsi="宋体" w:cs="宋体"/>
          <w:szCs w:val="21"/>
        </w:rPr>
      </w:pPr>
      <w:r>
        <w:rPr>
          <w:rFonts w:hint="eastAsia" w:ascii="宋体" w:hAnsi="宋体" w:cs="宋体"/>
          <w:szCs w:val="21"/>
        </w:rPr>
        <w:t>合同语言：本合同文件使用汉语。</w:t>
      </w:r>
    </w:p>
    <w:p>
      <w:pPr>
        <w:pStyle w:val="20"/>
        <w:numPr>
          <w:ilvl w:val="0"/>
          <w:numId w:val="17"/>
        </w:numPr>
        <w:spacing w:line="360" w:lineRule="auto"/>
        <w:ind w:firstLineChars="0"/>
        <w:rPr>
          <w:rFonts w:ascii="宋体" w:hAnsi="宋体" w:cs="宋体"/>
          <w:szCs w:val="21"/>
        </w:rPr>
      </w:pPr>
      <w:r>
        <w:rPr>
          <w:rFonts w:hint="eastAsia" w:ascii="宋体" w:hAnsi="宋体" w:cs="宋体"/>
          <w:szCs w:val="21"/>
        </w:rPr>
        <w:t>适用法律法规：</w:t>
      </w:r>
    </w:p>
    <w:p>
      <w:pPr>
        <w:spacing w:line="360" w:lineRule="auto"/>
        <w:rPr>
          <w:rFonts w:ascii="宋体" w:hAnsi="宋体" w:cs="宋体"/>
          <w:szCs w:val="21"/>
        </w:rPr>
      </w:pPr>
      <w:r>
        <w:rPr>
          <w:rFonts w:hint="eastAsia" w:ascii="宋体" w:hAnsi="宋体" w:cs="宋体"/>
          <w:szCs w:val="21"/>
        </w:rPr>
        <w:t>《中华人民共和国合同法》</w:t>
      </w:r>
    </w:p>
    <w:p>
      <w:pPr>
        <w:spacing w:line="360" w:lineRule="auto"/>
        <w:rPr>
          <w:rFonts w:ascii="宋体" w:hAnsi="宋体" w:cs="宋体"/>
          <w:szCs w:val="21"/>
        </w:rPr>
      </w:pPr>
      <w:r>
        <w:rPr>
          <w:rFonts w:hint="eastAsia" w:ascii="宋体" w:hAnsi="宋体" w:cs="宋体"/>
          <w:szCs w:val="21"/>
        </w:rPr>
        <w:t>《中华人民共和国建筑法》</w:t>
      </w:r>
    </w:p>
    <w:p>
      <w:pPr>
        <w:spacing w:line="360" w:lineRule="auto"/>
        <w:rPr>
          <w:rFonts w:ascii="宋体" w:hAnsi="宋体" w:cs="宋体"/>
          <w:szCs w:val="21"/>
        </w:rPr>
      </w:pPr>
      <w:r>
        <w:rPr>
          <w:rFonts w:hint="eastAsia" w:ascii="宋体" w:hAnsi="宋体" w:cs="宋体"/>
          <w:szCs w:val="21"/>
        </w:rPr>
        <w:t>《建设工程质量管理条例》</w:t>
      </w:r>
    </w:p>
    <w:p>
      <w:pPr>
        <w:pStyle w:val="20"/>
        <w:numPr>
          <w:ilvl w:val="0"/>
          <w:numId w:val="17"/>
        </w:numPr>
        <w:spacing w:line="360" w:lineRule="auto"/>
        <w:ind w:firstLineChars="0"/>
        <w:rPr>
          <w:rFonts w:ascii="宋体" w:hAnsi="宋体" w:cs="宋体"/>
          <w:szCs w:val="21"/>
        </w:rPr>
      </w:pPr>
      <w:r>
        <w:rPr>
          <w:rFonts w:hint="eastAsia" w:ascii="宋体" w:hAnsi="宋体" w:cs="宋体"/>
          <w:szCs w:val="21"/>
        </w:rPr>
        <w:t>其它现行法律/法规和规范性文件[含市地方行政法规]</w:t>
      </w:r>
    </w:p>
    <w:p>
      <w:pPr>
        <w:pStyle w:val="2"/>
        <w:spacing w:before="12" w:beforeLines="4" w:after="12" w:afterLines="4" w:line="360" w:lineRule="auto"/>
        <w:rPr>
          <w:color w:val="FF0000"/>
        </w:rPr>
      </w:pPr>
      <w:bookmarkStart w:id="41" w:name="_Toc20329366"/>
      <w:bookmarkStart w:id="42" w:name="_Toc22368251"/>
      <w:r>
        <w:rPr>
          <w:rFonts w:hint="eastAsia"/>
          <w:color w:val="FF0000"/>
        </w:rPr>
        <w:t>第十九条：违约</w:t>
      </w:r>
      <w:bookmarkEnd w:id="41"/>
      <w:bookmarkEnd w:id="42"/>
    </w:p>
    <w:p>
      <w:pPr>
        <w:pStyle w:val="20"/>
        <w:numPr>
          <w:ilvl w:val="0"/>
          <w:numId w:val="18"/>
        </w:numPr>
        <w:spacing w:line="360" w:lineRule="auto"/>
        <w:ind w:firstLineChars="0"/>
        <w:rPr>
          <w:rFonts w:ascii="宋体" w:hAnsi="宋体" w:cs="宋体"/>
          <w:b/>
          <w:bCs/>
          <w:szCs w:val="21"/>
        </w:rPr>
      </w:pPr>
      <w:bookmarkStart w:id="43" w:name="_Toc22368252"/>
      <w:r>
        <w:rPr>
          <w:rFonts w:hint="eastAsia" w:ascii="宋体" w:hAnsi="宋体" w:cs="宋体"/>
          <w:szCs w:val="21"/>
        </w:rPr>
        <w:t>乙方不能全面履行本合同条款，或出现任何违约情形的，乙方应承担违约责任，同时甲方可单方解除合同。甲方不主张解除合同的，乙方应按照甲方要求，向甲方提供本合同金额10%的履约保函进行担保。甲方主张解除合同的，应向乙方送达《解除合同通知书》，送达方式包括但不限于快递邮寄、电子邮件，微信传输，自《解除合同通知书》到达乙方之日，双方合同解除；甲方主张解除合同的，应于合同解除之日起3个月内，扣除乙方违约金后，与乙方办理已完工程《分包结算书》，待整体工程竣工验收合格后支付至结算额的</w:t>
      </w:r>
      <w:r>
        <w:rPr>
          <w:rFonts w:hint="eastAsia" w:ascii="宋体" w:hAnsi="宋体" w:cs="宋体"/>
          <w:szCs w:val="21"/>
          <w:lang w:val="en-US" w:eastAsia="zh-CN"/>
        </w:rPr>
        <w:t>100</w:t>
      </w:r>
      <w:r>
        <w:rPr>
          <w:rFonts w:hint="eastAsia" w:ascii="宋体" w:hAnsi="宋体" w:cs="宋体"/>
          <w:szCs w:val="21"/>
        </w:rPr>
        <w:t xml:space="preserve"> %。</w:t>
      </w:r>
    </w:p>
    <w:p>
      <w:pPr>
        <w:pStyle w:val="20"/>
        <w:numPr>
          <w:ilvl w:val="0"/>
          <w:numId w:val="18"/>
        </w:numPr>
        <w:spacing w:line="360" w:lineRule="auto"/>
        <w:ind w:firstLineChars="0"/>
        <w:rPr>
          <w:rFonts w:ascii="宋体" w:hAnsi="宋体" w:cs="宋体"/>
          <w:bCs/>
          <w:szCs w:val="21"/>
        </w:rPr>
      </w:pPr>
      <w:r>
        <w:rPr>
          <w:rFonts w:hint="eastAsia" w:ascii="宋体" w:hAnsi="宋体" w:cs="宋体"/>
          <w:szCs w:val="21"/>
        </w:rPr>
        <w:t>乙方</w:t>
      </w:r>
      <w:r>
        <w:rPr>
          <w:rFonts w:hint="eastAsia" w:ascii="宋体" w:hAnsi="宋体" w:cs="宋体"/>
          <w:bCs/>
          <w:szCs w:val="21"/>
        </w:rPr>
        <w:t>不允许非法转包本分包合同工程。</w:t>
      </w:r>
    </w:p>
    <w:p>
      <w:pPr>
        <w:pStyle w:val="20"/>
        <w:numPr>
          <w:ilvl w:val="0"/>
          <w:numId w:val="18"/>
        </w:numPr>
        <w:spacing w:line="360" w:lineRule="auto"/>
        <w:ind w:firstLineChars="0"/>
        <w:rPr>
          <w:rFonts w:ascii="宋体" w:hAnsi="宋体" w:cs="宋体"/>
          <w:bCs/>
          <w:szCs w:val="21"/>
        </w:rPr>
      </w:pPr>
      <w:r>
        <w:rPr>
          <w:rFonts w:hint="eastAsia" w:ascii="宋体" w:hAnsi="宋体" w:cs="宋体"/>
          <w:bCs/>
          <w:szCs w:val="21"/>
        </w:rPr>
        <w:t>甲乙双方明确约定，对于在本合同项下产生的或与本合同相关的事宜产生的乙方对甲方拥有的债权，乙方承诺不得将其转让给第三方，除非经过甲方书面同意。即使甲方书面同意的，乙方也应承担违约责任，甲方可直接扣减乙方拟转让金额的10%作为违约金后，书面同意转让剩余部分。</w:t>
      </w:r>
    </w:p>
    <w:p>
      <w:pPr>
        <w:pStyle w:val="20"/>
        <w:numPr>
          <w:ilvl w:val="0"/>
          <w:numId w:val="18"/>
        </w:numPr>
        <w:spacing w:line="360" w:lineRule="auto"/>
        <w:ind w:firstLineChars="0"/>
        <w:rPr>
          <w:rFonts w:ascii="宋体" w:hAnsi="宋体" w:cs="宋体"/>
          <w:bCs/>
          <w:szCs w:val="21"/>
        </w:rPr>
      </w:pPr>
      <w:r>
        <w:rPr>
          <w:rFonts w:hint="eastAsia" w:ascii="宋体" w:hAnsi="宋体" w:cs="宋体"/>
          <w:bCs/>
          <w:szCs w:val="21"/>
        </w:rPr>
        <w:t>因乙方施工质量问题以及其他违约责任给甲方造成经济损失的（经济损失范围包括但不限于甲方对外承担的民事责任、行政主管部门的处罚、甲方向乙方追偿经济损失而发生的包括但不限于诉讼费、律师费、鉴定费、差旅费等费用、以及自甲方经济损失发生之日起至乙方实际偿付之日止的人民银行同期贷款利息），乙方应承担全部赔偿责任。</w:t>
      </w:r>
    </w:p>
    <w:p>
      <w:pPr>
        <w:pStyle w:val="20"/>
        <w:numPr>
          <w:ilvl w:val="0"/>
          <w:numId w:val="18"/>
        </w:numPr>
        <w:spacing w:line="360" w:lineRule="auto"/>
        <w:ind w:firstLineChars="0"/>
        <w:rPr>
          <w:rFonts w:ascii="宋体" w:hAnsi="宋体" w:cs="宋体"/>
          <w:bCs/>
          <w:szCs w:val="21"/>
        </w:rPr>
      </w:pPr>
      <w:r>
        <w:rPr>
          <w:rFonts w:hint="eastAsia" w:ascii="宋体" w:hAnsi="宋体" w:cs="宋体"/>
          <w:bCs/>
          <w:szCs w:val="21"/>
        </w:rPr>
        <w:t>乙方未能及时到项目部办理结算的，甲方将向乙方发送书面通知，若乙方在收到通知后7日内仍未到项目部办理结算的，视为认可甲方出具的结算金额或放弃工程尾款。</w:t>
      </w:r>
    </w:p>
    <w:p>
      <w:pPr>
        <w:pStyle w:val="20"/>
        <w:numPr>
          <w:ilvl w:val="0"/>
          <w:numId w:val="18"/>
        </w:numPr>
        <w:spacing w:line="360" w:lineRule="auto"/>
        <w:ind w:firstLineChars="0"/>
        <w:rPr>
          <w:rFonts w:ascii="宋体" w:hAnsi="宋体" w:cs="宋体"/>
          <w:bCs/>
          <w:szCs w:val="21"/>
        </w:rPr>
      </w:pPr>
      <w:r>
        <w:rPr>
          <w:rFonts w:hint="eastAsia" w:ascii="宋体" w:hAnsi="宋体" w:cs="宋体"/>
          <w:bCs/>
          <w:szCs w:val="21"/>
        </w:rPr>
        <w:t>甲方已就本合同内容向乙方做出明确说明，乙方应对其违反本合同任意一条约定造成的甲方损失承担全部赔偿责任，不得以不理解条款内容作为减轻或免除责任的事由；对于乙方未遵守合同约定而导致自身无法结算、付款的，亦由乙方自行承担责任。</w:t>
      </w:r>
    </w:p>
    <w:bookmarkEnd w:id="43"/>
    <w:p>
      <w:pPr>
        <w:pStyle w:val="2"/>
        <w:spacing w:before="12" w:beforeLines="4" w:after="12" w:afterLines="4" w:line="360" w:lineRule="auto"/>
        <w:rPr>
          <w:color w:val="FF0000"/>
        </w:rPr>
      </w:pPr>
      <w:bookmarkStart w:id="44" w:name="_Toc20329367"/>
      <w:bookmarkStart w:id="45" w:name="_Toc22368254"/>
      <w:bookmarkStart w:id="46" w:name="_Toc521405365"/>
      <w:r>
        <w:rPr>
          <w:rFonts w:hint="eastAsia"/>
          <w:color w:val="FF0000"/>
        </w:rPr>
        <w:t>第二十条：合同生效与终止</w:t>
      </w:r>
      <w:bookmarkEnd w:id="44"/>
      <w:bookmarkEnd w:id="45"/>
    </w:p>
    <w:bookmarkEnd w:id="46"/>
    <w:p>
      <w:pPr>
        <w:numPr>
          <w:ilvl w:val="0"/>
          <w:numId w:val="19"/>
        </w:numPr>
        <w:spacing w:line="360" w:lineRule="auto"/>
        <w:rPr>
          <w:rFonts w:ascii="宋体" w:hAnsi="宋体" w:cs="宋体"/>
          <w:szCs w:val="21"/>
        </w:rPr>
      </w:pPr>
      <w:bookmarkStart w:id="47" w:name="_Toc22368255"/>
      <w:bookmarkStart w:id="48" w:name="_Toc521405367"/>
      <w:r>
        <w:rPr>
          <w:rFonts w:hint="eastAsia" w:ascii="宋体" w:hAnsi="宋体" w:cs="宋体"/>
          <w:szCs w:val="21"/>
        </w:rPr>
        <w:t>本合同自双方签字、盖章之日起生效（以最后签字盖章的日期为准）。</w:t>
      </w:r>
    </w:p>
    <w:p>
      <w:pPr>
        <w:pStyle w:val="20"/>
        <w:numPr>
          <w:ilvl w:val="0"/>
          <w:numId w:val="19"/>
        </w:numPr>
        <w:spacing w:line="360" w:lineRule="auto"/>
        <w:ind w:firstLineChars="0"/>
        <w:rPr>
          <w:rFonts w:ascii="宋体" w:hAnsi="宋体" w:cs="宋体"/>
          <w:szCs w:val="21"/>
        </w:rPr>
      </w:pPr>
      <w:r>
        <w:rPr>
          <w:rFonts w:hint="eastAsia" w:ascii="宋体" w:hAnsi="宋体" w:cs="宋体"/>
          <w:szCs w:val="21"/>
        </w:rPr>
        <w:t>合同履约完毕，保修期满（如有）、结清工程尾款，或合同主体违约，或由于不可抗力等原因不能再继续履行合同时，合同终止。</w:t>
      </w:r>
    </w:p>
    <w:p>
      <w:pPr>
        <w:pStyle w:val="2"/>
        <w:spacing w:before="12" w:beforeLines="4" w:after="12" w:afterLines="4" w:line="360" w:lineRule="auto"/>
        <w:rPr>
          <w:color w:val="FF0000"/>
        </w:rPr>
      </w:pPr>
      <w:bookmarkStart w:id="49" w:name="_Toc20329368"/>
      <w:r>
        <w:rPr>
          <w:rFonts w:hint="eastAsia"/>
          <w:color w:val="FF0000"/>
        </w:rPr>
        <w:t>第二十一条：争议与裁决</w:t>
      </w:r>
      <w:bookmarkEnd w:id="47"/>
      <w:bookmarkEnd w:id="49"/>
    </w:p>
    <w:bookmarkEnd w:id="48"/>
    <w:p>
      <w:pPr>
        <w:numPr>
          <w:ilvl w:val="0"/>
          <w:numId w:val="20"/>
        </w:numPr>
        <w:spacing w:line="360" w:lineRule="auto"/>
        <w:rPr>
          <w:rFonts w:ascii="宋体" w:hAnsi="宋体" w:cs="宋体"/>
          <w:szCs w:val="21"/>
        </w:rPr>
      </w:pPr>
      <w:bookmarkStart w:id="50" w:name="_Toc22368256"/>
      <w:r>
        <w:rPr>
          <w:rFonts w:hint="eastAsia" w:ascii="宋体" w:hAnsi="宋体" w:cs="宋体"/>
          <w:szCs w:val="21"/>
        </w:rPr>
        <w:t>本合同履行过程中如发生争议，双方应本着实事求是的态度协商解决；协商解决不成的双方愿提交天津仲裁委员会自贸区仲裁中心，按照其仲裁规则进行仲裁。该仲裁裁决将是终局，对双方均有约束力。</w:t>
      </w:r>
    </w:p>
    <w:p>
      <w:pPr>
        <w:pStyle w:val="20"/>
        <w:numPr>
          <w:ilvl w:val="0"/>
          <w:numId w:val="20"/>
        </w:numPr>
        <w:spacing w:line="360" w:lineRule="auto"/>
        <w:ind w:firstLineChars="0"/>
        <w:rPr>
          <w:rFonts w:ascii="宋体" w:hAnsi="宋体" w:cs="宋体"/>
          <w:szCs w:val="21"/>
        </w:rPr>
      </w:pPr>
      <w:r>
        <w:rPr>
          <w:rFonts w:hint="eastAsia" w:ascii="宋体" w:hAnsi="宋体" w:cs="宋体"/>
          <w:szCs w:val="21"/>
        </w:rPr>
        <w:t>本合同中关于管辖权的约定是唯一的，任何一方不得通过债权转让或其它方式对涉及本合同约定事项的争议解决方式进行另行约定或对本合同关于管辖权的约定进行变更，如发生类似情形，该等约定亦属无效。</w:t>
      </w:r>
    </w:p>
    <w:p>
      <w:pPr>
        <w:pStyle w:val="2"/>
        <w:spacing w:before="12" w:beforeLines="4" w:after="12" w:afterLines="4" w:line="360" w:lineRule="auto"/>
        <w:rPr>
          <w:color w:val="FF0000"/>
        </w:rPr>
      </w:pPr>
      <w:bookmarkStart w:id="51" w:name="_Toc20329369"/>
      <w:r>
        <w:rPr>
          <w:rFonts w:hint="eastAsia"/>
          <w:color w:val="FF0000"/>
        </w:rPr>
        <w:t>第二十二条：未尽事宜</w:t>
      </w:r>
      <w:bookmarkEnd w:id="50"/>
      <w:bookmarkEnd w:id="51"/>
    </w:p>
    <w:p>
      <w:pPr>
        <w:spacing w:line="360" w:lineRule="auto"/>
        <w:rPr>
          <w:rFonts w:ascii="宋体" w:hAnsi="宋体" w:cs="宋体"/>
          <w:szCs w:val="21"/>
        </w:rPr>
      </w:pPr>
      <w:r>
        <w:rPr>
          <w:rFonts w:hint="eastAsia" w:ascii="宋体" w:hAnsi="宋体" w:cs="宋体"/>
          <w:szCs w:val="21"/>
        </w:rPr>
        <w:t>本合同在执行中若有未尽事宜，双方经友好协商以补充协议/会议纪要/谈判记录等形式解决。</w:t>
      </w:r>
    </w:p>
    <w:p>
      <w:pPr>
        <w:pStyle w:val="2"/>
        <w:spacing w:before="12" w:beforeLines="4" w:after="12" w:afterLines="4" w:line="360" w:lineRule="auto"/>
        <w:rPr>
          <w:color w:val="FF0000"/>
        </w:rPr>
      </w:pPr>
      <w:bookmarkStart w:id="52" w:name="_Toc22368257"/>
      <w:bookmarkStart w:id="53" w:name="_Toc20329370"/>
      <w:bookmarkStart w:id="54" w:name="_Toc521405370"/>
      <w:r>
        <w:rPr>
          <w:rFonts w:hint="eastAsia"/>
          <w:color w:val="FF0000"/>
        </w:rPr>
        <w:t>第二十三条：其它约定</w:t>
      </w:r>
      <w:bookmarkEnd w:id="52"/>
      <w:bookmarkEnd w:id="53"/>
    </w:p>
    <w:bookmarkEnd w:id="54"/>
    <w:p>
      <w:pPr>
        <w:pStyle w:val="20"/>
        <w:tabs>
          <w:tab w:val="left" w:pos="425"/>
        </w:tabs>
        <w:spacing w:line="360" w:lineRule="auto"/>
        <w:ind w:left="420" w:hanging="420" w:hangingChars="200"/>
        <w:rPr>
          <w:rFonts w:ascii="宋体" w:hAnsi="宋体" w:cs="宋体"/>
          <w:bCs/>
          <w:szCs w:val="21"/>
        </w:rPr>
      </w:pPr>
      <w:r>
        <w:rPr>
          <w:rFonts w:hint="eastAsia" w:ascii="宋体" w:hAnsi="宋体" w:cs="宋体"/>
          <w:bCs/>
          <w:szCs w:val="21"/>
        </w:rPr>
        <w:t>1.  合同执行期间，因承包范围、工程量等发生变化或其他合同补充、变更事宜，双方另行协商签订补充协议作为合同附件，经双方法定代表人或者授权代表签字，加盖双方印章后方可生效。</w:t>
      </w:r>
    </w:p>
    <w:p>
      <w:pPr>
        <w:pStyle w:val="20"/>
        <w:tabs>
          <w:tab w:val="left" w:pos="425"/>
        </w:tabs>
        <w:spacing w:line="360" w:lineRule="auto"/>
        <w:ind w:left="420" w:hanging="420" w:hangingChars="200"/>
        <w:rPr>
          <w:rFonts w:ascii="宋体" w:hAnsi="宋体" w:cs="宋体"/>
          <w:szCs w:val="21"/>
        </w:rPr>
      </w:pPr>
      <w:r>
        <w:rPr>
          <w:rFonts w:hint="eastAsia" w:ascii="宋体" w:hAnsi="宋体" w:cs="宋体"/>
          <w:szCs w:val="21"/>
        </w:rPr>
        <w:t>2.  本合同所述之内容与条款只限于工程使用，乙方不得将本合同内容细节透露给任何第三方。</w:t>
      </w:r>
    </w:p>
    <w:p>
      <w:pPr>
        <w:pStyle w:val="20"/>
        <w:tabs>
          <w:tab w:val="left" w:pos="425"/>
        </w:tabs>
        <w:spacing w:line="360" w:lineRule="auto"/>
        <w:ind w:left="422" w:hanging="422" w:hangingChars="200"/>
        <w:rPr>
          <w:rFonts w:ascii="宋体" w:hAnsi="宋体" w:cs="宋体"/>
          <w:b/>
          <w:szCs w:val="21"/>
          <w:u w:val="single"/>
        </w:rPr>
      </w:pPr>
      <w:r>
        <w:rPr>
          <w:rFonts w:hint="eastAsia" w:ascii="宋体" w:hAnsi="宋体" w:cs="宋体"/>
          <w:b/>
          <w:szCs w:val="21"/>
        </w:rPr>
        <w:t xml:space="preserve">3. </w:t>
      </w:r>
      <w:r>
        <w:rPr>
          <w:rFonts w:hint="eastAsia" w:ascii="宋体" w:hAnsi="宋体" w:cs="宋体"/>
          <w:b/>
          <w:szCs w:val="21"/>
          <w:u w:val="single"/>
        </w:rPr>
        <w:t xml:space="preserve"> 甲方已就本合同中减轻或免除已方责任的条款向乙方做出提示及说明，乙方表示认可并接受上述条款的约定。</w:t>
      </w:r>
    </w:p>
    <w:p>
      <w:pPr>
        <w:pStyle w:val="20"/>
        <w:tabs>
          <w:tab w:val="left" w:pos="425"/>
        </w:tabs>
        <w:spacing w:line="360" w:lineRule="auto"/>
        <w:ind w:firstLine="0" w:firstLineChars="0"/>
        <w:rPr>
          <w:rFonts w:ascii="宋体" w:hAnsi="宋体" w:cs="宋体"/>
          <w:szCs w:val="21"/>
        </w:rPr>
      </w:pPr>
      <w:r>
        <w:rPr>
          <w:rFonts w:hint="eastAsia" w:ascii="宋体" w:hAnsi="宋体" w:cs="宋体"/>
          <w:szCs w:val="21"/>
        </w:rPr>
        <w:t>4.  本合同正本两份，双方各执一份。副本</w:t>
      </w:r>
      <w:r>
        <w:rPr>
          <w:rFonts w:hint="eastAsia" w:ascii="宋体" w:hAnsi="宋体" w:cs="宋体"/>
          <w:szCs w:val="21"/>
          <w:lang w:val="en-US" w:eastAsia="zh-CN"/>
        </w:rPr>
        <w:t>四</w:t>
      </w:r>
      <w:r>
        <w:rPr>
          <w:rFonts w:hint="eastAsia" w:ascii="宋体" w:hAnsi="宋体" w:cs="宋体"/>
          <w:szCs w:val="21"/>
        </w:rPr>
        <w:t>份，甲方</w:t>
      </w:r>
      <w:r>
        <w:rPr>
          <w:rFonts w:hint="eastAsia" w:ascii="宋体" w:hAnsi="宋体" w:cs="宋体"/>
          <w:szCs w:val="21"/>
          <w:lang w:val="en-US" w:eastAsia="zh-CN"/>
        </w:rPr>
        <w:t>二</w:t>
      </w:r>
      <w:r>
        <w:rPr>
          <w:rFonts w:hint="eastAsia" w:ascii="宋体" w:hAnsi="宋体" w:cs="宋体"/>
          <w:szCs w:val="21"/>
        </w:rPr>
        <w:t>份、乙方</w:t>
      </w:r>
      <w:r>
        <w:rPr>
          <w:rFonts w:hint="eastAsia" w:ascii="宋体" w:hAnsi="宋体" w:cs="宋体"/>
          <w:szCs w:val="21"/>
          <w:lang w:val="en-US" w:eastAsia="zh-CN"/>
        </w:rPr>
        <w:t>二</w:t>
      </w:r>
      <w:r>
        <w:rPr>
          <w:rFonts w:hint="eastAsia" w:ascii="宋体" w:hAnsi="宋体" w:cs="宋体"/>
          <w:szCs w:val="21"/>
        </w:rPr>
        <w:t>份。</w:t>
      </w:r>
    </w:p>
    <w:p>
      <w:pPr>
        <w:pStyle w:val="20"/>
        <w:tabs>
          <w:tab w:val="left" w:pos="425"/>
        </w:tabs>
        <w:spacing w:line="360" w:lineRule="auto"/>
        <w:ind w:firstLine="0" w:firstLineChars="0"/>
        <w:rPr>
          <w:rFonts w:ascii="宋体" w:hAnsi="宋体" w:cs="宋体"/>
          <w:szCs w:val="21"/>
        </w:rPr>
      </w:pPr>
      <w:r>
        <w:rPr>
          <w:rFonts w:hint="eastAsia" w:ascii="宋体" w:hAnsi="宋体" w:cs="宋体"/>
          <w:szCs w:val="21"/>
        </w:rPr>
        <w:t>5.  乙方单位往来电子邮箱：，该电子邮箱为乙方公司工作邮箱，甲方发送的电子邮件，乙方可即时收到，并确保于甲方发送后12 小时内知悉，如电子邮箱地址变更，双方将重新签订补充协议进行明确。</w:t>
      </w:r>
    </w:p>
    <w:p>
      <w:pPr>
        <w:pStyle w:val="20"/>
        <w:tabs>
          <w:tab w:val="left" w:pos="425"/>
        </w:tabs>
        <w:spacing w:line="360" w:lineRule="auto"/>
        <w:ind w:firstLine="0" w:firstLineChars="0"/>
        <w:rPr>
          <w:rFonts w:ascii="宋体" w:hAnsi="宋体" w:cs="宋体"/>
          <w:szCs w:val="21"/>
        </w:rPr>
      </w:pPr>
      <w:r>
        <w:rPr>
          <w:rFonts w:hint="eastAsia" w:ascii="宋体" w:hAnsi="宋体" w:cs="宋体"/>
          <w:szCs w:val="21"/>
        </w:rPr>
        <w:t>6.  在合同履行期间，因乙方违约产生的罚款（包含但不限于质量罚款、安全罚款），乙方拒不缴纳的，甲方将在发生当月进度款中予以扣除，乙方对此无异议。</w:t>
      </w:r>
    </w:p>
    <w:p>
      <w:pPr>
        <w:pStyle w:val="20"/>
        <w:tabs>
          <w:tab w:val="left" w:pos="425"/>
        </w:tabs>
        <w:spacing w:line="360" w:lineRule="auto"/>
        <w:ind w:firstLine="0" w:firstLineChars="0"/>
        <w:rPr>
          <w:rFonts w:ascii="宋体" w:hAnsi="宋体" w:cs="宋体"/>
          <w:szCs w:val="21"/>
        </w:rPr>
      </w:pPr>
    </w:p>
    <w:p>
      <w:pPr>
        <w:pStyle w:val="8"/>
        <w:spacing w:before="100" w:beforeAutospacing="1" w:after="100" w:afterAutospacing="1" w:line="360" w:lineRule="auto"/>
        <w:rPr>
          <w:rFonts w:hAnsi="宋体"/>
          <w:sz w:val="21"/>
          <w:szCs w:val="21"/>
        </w:rPr>
      </w:pPr>
      <w:r>
        <w:rPr>
          <w:rFonts w:hint="eastAsia" w:hAnsi="宋体"/>
          <w:sz w:val="21"/>
          <w:szCs w:val="21"/>
        </w:rPr>
        <w:t>（以下无正文）</w:t>
      </w:r>
    </w:p>
    <w:p>
      <w:pPr>
        <w:spacing w:line="360" w:lineRule="auto"/>
        <w:rPr>
          <w:szCs w:val="21"/>
        </w:rPr>
      </w:pPr>
    </w:p>
    <w:p>
      <w:pPr>
        <w:spacing w:line="360" w:lineRule="auto"/>
        <w:rPr>
          <w:szCs w:val="21"/>
        </w:rPr>
      </w:pPr>
      <w:r>
        <w:rPr>
          <w:rFonts w:hint="eastAsia"/>
          <w:szCs w:val="21"/>
        </w:rPr>
        <w:t>附件</w:t>
      </w:r>
    </w:p>
    <w:p>
      <w:pPr>
        <w:spacing w:line="360" w:lineRule="auto"/>
        <w:rPr>
          <w:szCs w:val="21"/>
        </w:rPr>
      </w:pPr>
      <w:r>
        <w:rPr>
          <w:rFonts w:hint="eastAsia"/>
          <w:szCs w:val="21"/>
        </w:rPr>
        <w:t>附件一：安全生产与消防保卫协议书</w:t>
      </w:r>
    </w:p>
    <w:p>
      <w:pPr>
        <w:spacing w:line="360" w:lineRule="auto"/>
        <w:rPr>
          <w:szCs w:val="21"/>
        </w:rPr>
      </w:pPr>
      <w:r>
        <w:rPr>
          <w:rFonts w:hint="eastAsia"/>
          <w:szCs w:val="21"/>
        </w:rPr>
        <w:t>附件二：职业安全健康与环境管理协议书</w:t>
      </w:r>
    </w:p>
    <w:p>
      <w:pPr>
        <w:spacing w:line="360" w:lineRule="auto"/>
        <w:rPr>
          <w:szCs w:val="21"/>
        </w:rPr>
      </w:pPr>
      <w:r>
        <w:rPr>
          <w:rFonts w:hint="eastAsia"/>
          <w:szCs w:val="21"/>
        </w:rPr>
        <w:t>附件三：分包月度预结算表</w:t>
      </w:r>
    </w:p>
    <w:p>
      <w:pPr>
        <w:spacing w:line="360" w:lineRule="auto"/>
        <w:rPr>
          <w:szCs w:val="21"/>
        </w:rPr>
      </w:pPr>
      <w:r>
        <w:rPr>
          <w:rFonts w:hint="eastAsia"/>
          <w:szCs w:val="21"/>
        </w:rPr>
        <w:t>附件四：项目部授权汇总表</w:t>
      </w:r>
    </w:p>
    <w:p>
      <w:pPr>
        <w:spacing w:line="360" w:lineRule="auto"/>
        <w:rPr>
          <w:szCs w:val="21"/>
        </w:rPr>
      </w:pPr>
      <w:r>
        <w:rPr>
          <w:rFonts w:hint="eastAsia"/>
          <w:szCs w:val="21"/>
        </w:rPr>
        <w:t>附件五：分包方授权一览表</w:t>
      </w:r>
    </w:p>
    <w:p>
      <w:pPr>
        <w:spacing w:line="360" w:lineRule="auto"/>
        <w:rPr>
          <w:szCs w:val="21"/>
        </w:rPr>
      </w:pPr>
      <w:r>
        <w:rPr>
          <w:rFonts w:hint="eastAsia"/>
          <w:szCs w:val="21"/>
        </w:rPr>
        <w:t>附件六：合同相对方授权委托书格式</w:t>
      </w:r>
    </w:p>
    <w:p>
      <w:pPr>
        <w:spacing w:line="360" w:lineRule="auto"/>
        <w:rPr>
          <w:szCs w:val="21"/>
        </w:rPr>
      </w:pPr>
      <w:r>
        <w:rPr>
          <w:rFonts w:hint="eastAsia"/>
          <w:szCs w:val="21"/>
        </w:rPr>
        <w:t>附件七：优先支付人工费的承诺书</w:t>
      </w:r>
    </w:p>
    <w:p>
      <w:pPr>
        <w:spacing w:line="360" w:lineRule="auto"/>
        <w:rPr>
          <w:szCs w:val="21"/>
        </w:rPr>
      </w:pPr>
      <w:r>
        <w:rPr>
          <w:rFonts w:hint="eastAsia"/>
          <w:szCs w:val="21"/>
        </w:rPr>
        <w:t>附件八：无拖欠人工费承诺函</w:t>
      </w:r>
    </w:p>
    <w:p>
      <w:pPr>
        <w:spacing w:line="360" w:lineRule="auto"/>
        <w:rPr>
          <w:szCs w:val="21"/>
        </w:rPr>
      </w:pPr>
      <w:r>
        <w:rPr>
          <w:rFonts w:hint="eastAsia"/>
          <w:szCs w:val="21"/>
        </w:rPr>
        <w:t>附件九：相关方社会责任管理承诺书</w:t>
      </w:r>
    </w:p>
    <w:p>
      <w:pPr>
        <w:spacing w:line="360" w:lineRule="auto"/>
        <w:rPr>
          <w:szCs w:val="21"/>
        </w:rPr>
      </w:pPr>
      <w:r>
        <w:rPr>
          <w:rFonts w:hint="eastAsia"/>
          <w:szCs w:val="21"/>
        </w:rPr>
        <w:t>附件十：项目分包分供合同评审涉税事宜承诺书</w:t>
      </w:r>
    </w:p>
    <w:p>
      <w:pPr>
        <w:spacing w:line="360" w:lineRule="auto"/>
        <w:rPr>
          <w:szCs w:val="21"/>
        </w:rPr>
      </w:pPr>
      <w:r>
        <w:rPr>
          <w:rFonts w:hint="eastAsia"/>
          <w:szCs w:val="21"/>
        </w:rPr>
        <w:t>附件十一：分包现场签证流程及样表（附表</w:t>
      </w:r>
      <w:r>
        <w:rPr>
          <w:szCs w:val="21"/>
        </w:rPr>
        <w:t>1</w:t>
      </w:r>
      <w:r>
        <w:rPr>
          <w:rFonts w:hint="eastAsia"/>
          <w:szCs w:val="21"/>
        </w:rPr>
        <w:t>、</w:t>
      </w:r>
      <w:r>
        <w:rPr>
          <w:szCs w:val="21"/>
        </w:rPr>
        <w:t>2</w:t>
      </w:r>
      <w:r>
        <w:rPr>
          <w:rFonts w:hint="eastAsia"/>
          <w:szCs w:val="21"/>
        </w:rPr>
        <w:t>、</w:t>
      </w:r>
      <w:r>
        <w:rPr>
          <w:szCs w:val="21"/>
        </w:rPr>
        <w:t>3</w:t>
      </w:r>
      <w:r>
        <w:rPr>
          <w:rFonts w:hint="eastAsia"/>
          <w:szCs w:val="21"/>
        </w:rPr>
        <w:t>、</w:t>
      </w:r>
      <w:r>
        <w:rPr>
          <w:szCs w:val="21"/>
        </w:rPr>
        <w:t>4</w:t>
      </w:r>
      <w:r>
        <w:rPr>
          <w:rFonts w:hint="eastAsia"/>
          <w:szCs w:val="21"/>
        </w:rPr>
        <w:t>、</w:t>
      </w:r>
      <w:r>
        <w:rPr>
          <w:szCs w:val="21"/>
        </w:rPr>
        <w:t>5</w:t>
      </w:r>
      <w:r>
        <w:rPr>
          <w:rFonts w:hint="eastAsia"/>
          <w:szCs w:val="21"/>
        </w:rPr>
        <w:t>）</w:t>
      </w:r>
    </w:p>
    <w:p>
      <w:pPr>
        <w:spacing w:line="360" w:lineRule="auto"/>
        <w:rPr>
          <w:szCs w:val="21"/>
        </w:rPr>
      </w:pPr>
      <w:r>
        <w:rPr>
          <w:rFonts w:hint="eastAsia"/>
          <w:szCs w:val="21"/>
        </w:rPr>
        <w:t>附件十二：分包结算书样表</w:t>
      </w:r>
    </w:p>
    <w:p>
      <w:pPr>
        <w:spacing w:line="360" w:lineRule="auto"/>
        <w:rPr>
          <w:szCs w:val="21"/>
        </w:rPr>
      </w:pPr>
      <w:r>
        <w:rPr>
          <w:rFonts w:hint="eastAsia"/>
          <w:szCs w:val="21"/>
        </w:rPr>
        <w:t>附件十三：项目部印章模板</w:t>
      </w:r>
    </w:p>
    <w:p>
      <w:pPr>
        <w:spacing w:line="360" w:lineRule="auto"/>
        <w:rPr>
          <w:szCs w:val="21"/>
        </w:rPr>
      </w:pPr>
      <w:r>
        <w:rPr>
          <w:rFonts w:hint="eastAsia"/>
          <w:szCs w:val="21"/>
        </w:rPr>
        <w:t>附件十四：自行解决承诺函</w:t>
      </w:r>
    </w:p>
    <w:p>
      <w:pPr>
        <w:spacing w:line="360" w:lineRule="auto"/>
        <w:rPr>
          <w:szCs w:val="21"/>
        </w:rPr>
      </w:pPr>
      <w:r>
        <w:rPr>
          <w:rFonts w:hint="eastAsia"/>
          <w:szCs w:val="21"/>
        </w:rPr>
        <w:t>附件十五：工人工资足额支付证明</w:t>
      </w:r>
    </w:p>
    <w:p>
      <w:pPr>
        <w:spacing w:line="360" w:lineRule="auto"/>
        <w:rPr>
          <w:szCs w:val="21"/>
        </w:rPr>
      </w:pPr>
      <w:r>
        <w:rPr>
          <w:rFonts w:hint="eastAsia"/>
          <w:szCs w:val="21"/>
        </w:rPr>
        <w:t>附件十六：甲指分包分供承诺函（视情况选用）</w:t>
      </w:r>
    </w:p>
    <w:p>
      <w:pPr>
        <w:spacing w:line="360" w:lineRule="auto"/>
        <w:rPr>
          <w:szCs w:val="21"/>
        </w:rPr>
      </w:pPr>
      <w:r>
        <w:rPr>
          <w:rFonts w:hint="eastAsia"/>
          <w:szCs w:val="21"/>
        </w:rPr>
        <w:t>附件十七：机械设备承诺书（视情况选用）</w:t>
      </w:r>
    </w:p>
    <w:p>
      <w:pPr>
        <w:spacing w:line="360" w:lineRule="auto"/>
        <w:rPr>
          <w:szCs w:val="21"/>
        </w:rPr>
      </w:pPr>
    </w:p>
    <w:p>
      <w:pPr>
        <w:spacing w:line="298" w:lineRule="auto"/>
        <w:rPr>
          <w:rFonts w:ascii="Arial" w:hAnsi="Arial" w:cs="Arial"/>
          <w:szCs w:val="21"/>
        </w:rPr>
      </w:pPr>
    </w:p>
    <w:p>
      <w:pPr>
        <w:spacing w:line="298" w:lineRule="auto"/>
        <w:rPr>
          <w:rFonts w:ascii="Arial" w:hAnsi="Arial" w:cs="Arial"/>
          <w:szCs w:val="21"/>
        </w:rPr>
      </w:pPr>
      <w:r>
        <w:rPr>
          <w:rFonts w:ascii="Arial" w:hAnsi="Arial" w:cs="Arial"/>
          <w:szCs w:val="21"/>
        </w:rPr>
        <w:t>甲方：乙方：</w:t>
      </w:r>
    </w:p>
    <w:p>
      <w:pPr>
        <w:spacing w:line="298" w:lineRule="auto"/>
        <w:rPr>
          <w:rFonts w:ascii="Arial" w:hAnsi="Arial" w:cs="Arial"/>
          <w:szCs w:val="21"/>
        </w:rPr>
      </w:pPr>
      <w:r>
        <w:rPr>
          <w:rFonts w:ascii="Arial" w:hAnsi="Arial" w:cs="Arial"/>
          <w:szCs w:val="21"/>
        </w:rPr>
        <w:t>（</w:t>
      </w:r>
      <w:r>
        <w:rPr>
          <w:rFonts w:hint="eastAsia" w:ascii="Arial" w:hAnsi="Arial" w:cs="Arial"/>
          <w:szCs w:val="21"/>
        </w:rPr>
        <w:t>盖</w:t>
      </w:r>
      <w:r>
        <w:rPr>
          <w:rFonts w:ascii="Arial" w:hAnsi="Arial" w:cs="Arial"/>
          <w:szCs w:val="21"/>
        </w:rPr>
        <w:t>章）</w:t>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w:t>
      </w:r>
      <w:r>
        <w:rPr>
          <w:rFonts w:hint="eastAsia" w:ascii="Arial" w:hAnsi="Arial" w:cs="Arial"/>
          <w:szCs w:val="21"/>
        </w:rPr>
        <w:t>盖</w:t>
      </w:r>
      <w:r>
        <w:rPr>
          <w:rFonts w:ascii="Arial" w:hAnsi="Arial" w:cs="Arial"/>
          <w:szCs w:val="21"/>
        </w:rPr>
        <w:t>章）</w:t>
      </w:r>
    </w:p>
    <w:p>
      <w:pPr>
        <w:spacing w:line="298" w:lineRule="auto"/>
        <w:rPr>
          <w:rFonts w:ascii="Arial" w:hAnsi="Arial" w:cs="Arial"/>
          <w:szCs w:val="21"/>
        </w:rPr>
      </w:pPr>
    </w:p>
    <w:p>
      <w:pPr>
        <w:spacing w:before="156" w:beforeLines="50" w:line="360" w:lineRule="auto"/>
        <w:rPr>
          <w:szCs w:val="21"/>
        </w:rPr>
      </w:pPr>
      <w:r>
        <w:rPr>
          <w:rFonts w:hint="eastAsia"/>
          <w:szCs w:val="21"/>
        </w:rPr>
        <w:t>地址 ：                                       地址：</w:t>
      </w:r>
    </w:p>
    <w:p>
      <w:pPr>
        <w:spacing w:before="156" w:beforeLines="50" w:line="360" w:lineRule="auto"/>
        <w:rPr>
          <w:szCs w:val="21"/>
        </w:rPr>
      </w:pPr>
      <w:r>
        <w:rPr>
          <w:rFonts w:hint="eastAsia"/>
          <w:szCs w:val="21"/>
        </w:rPr>
        <w:t>邮政编码：                                    邮政编码：</w:t>
      </w:r>
    </w:p>
    <w:p>
      <w:pPr>
        <w:spacing w:before="156" w:beforeLines="50" w:line="360" w:lineRule="auto"/>
        <w:rPr>
          <w:szCs w:val="21"/>
        </w:rPr>
      </w:pPr>
      <w:r>
        <w:rPr>
          <w:rFonts w:hint="eastAsia"/>
          <w:szCs w:val="21"/>
        </w:rPr>
        <w:t>法定代表人：                                  法定代表人：</w:t>
      </w:r>
    </w:p>
    <w:p>
      <w:pPr>
        <w:spacing w:before="156" w:beforeLines="50" w:line="360" w:lineRule="auto"/>
        <w:rPr>
          <w:szCs w:val="21"/>
        </w:rPr>
      </w:pPr>
      <w:r>
        <w:rPr>
          <w:rFonts w:hint="eastAsia"/>
          <w:szCs w:val="21"/>
        </w:rPr>
        <w:t>或委托代理人：                                或委托代理人：</w:t>
      </w:r>
    </w:p>
    <w:p>
      <w:pPr>
        <w:spacing w:before="156" w:beforeLines="50" w:line="360" w:lineRule="auto"/>
        <w:rPr>
          <w:szCs w:val="21"/>
        </w:rPr>
      </w:pPr>
      <w:r>
        <w:rPr>
          <w:rFonts w:hint="eastAsia"/>
          <w:szCs w:val="21"/>
        </w:rPr>
        <w:t xml:space="preserve">联系电话：                                    联系电话：                                  </w:t>
      </w:r>
    </w:p>
    <w:p>
      <w:pPr>
        <w:spacing w:before="156" w:beforeLines="50" w:line="360" w:lineRule="auto"/>
        <w:rPr>
          <w:szCs w:val="21"/>
        </w:rPr>
      </w:pPr>
      <w:r>
        <w:rPr>
          <w:rFonts w:hint="eastAsia"/>
          <w:szCs w:val="21"/>
        </w:rPr>
        <w:t>传真：                                        传真：</w:t>
      </w:r>
    </w:p>
    <w:p>
      <w:pPr>
        <w:spacing w:before="156" w:beforeLines="50" w:line="360" w:lineRule="auto"/>
        <w:rPr>
          <w:szCs w:val="21"/>
        </w:rPr>
      </w:pPr>
      <w:r>
        <w:rPr>
          <w:rFonts w:hint="eastAsia"/>
          <w:szCs w:val="21"/>
        </w:rPr>
        <w:t>电子邮箱：                                    电子邮箱：</w:t>
      </w:r>
    </w:p>
    <w:p>
      <w:pPr>
        <w:spacing w:before="156" w:beforeLines="50" w:line="360" w:lineRule="auto"/>
        <w:rPr>
          <w:szCs w:val="21"/>
        </w:rPr>
      </w:pPr>
      <w:r>
        <w:rPr>
          <w:rFonts w:hint="eastAsia"/>
          <w:szCs w:val="21"/>
        </w:rPr>
        <w:t>开户银行 ：                                   开户银行：</w:t>
      </w:r>
    </w:p>
    <w:p>
      <w:pPr>
        <w:spacing w:before="156" w:beforeLines="50" w:line="360" w:lineRule="auto"/>
        <w:rPr>
          <w:szCs w:val="21"/>
        </w:rPr>
      </w:pPr>
      <w:r>
        <w:rPr>
          <w:rFonts w:hint="eastAsia"/>
          <w:szCs w:val="21"/>
        </w:rPr>
        <w:t>账号 ：                                       账号：</w:t>
      </w:r>
    </w:p>
    <w:p>
      <w:pPr>
        <w:spacing w:before="156" w:beforeLines="50" w:line="360" w:lineRule="auto"/>
        <w:rPr>
          <w:szCs w:val="21"/>
        </w:rPr>
      </w:pPr>
      <w:r>
        <w:rPr>
          <w:rFonts w:hint="eastAsia"/>
          <w:szCs w:val="21"/>
        </w:rPr>
        <w:t>纳税人识别号：                                纳税人识别号：</w:t>
      </w:r>
    </w:p>
    <w:p>
      <w:pPr>
        <w:spacing w:before="156" w:beforeLines="50" w:line="360" w:lineRule="auto"/>
        <w:rPr>
          <w:szCs w:val="21"/>
        </w:rPr>
      </w:pPr>
      <w:r>
        <w:rPr>
          <w:rFonts w:hint="eastAsia"/>
          <w:szCs w:val="21"/>
        </w:rPr>
        <w:t>签订日期：                                    签订日期：</w:t>
      </w:r>
    </w:p>
    <w:p>
      <w:pPr>
        <w:spacing w:line="360" w:lineRule="auto"/>
        <w:rPr>
          <w:rFonts w:ascii="宋体" w:hAnsi="宋体" w:cs="宋体"/>
          <w:szCs w:val="21"/>
        </w:rPr>
      </w:pPr>
    </w:p>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1</w:t>
                </w:r>
                <w:r>
                  <w:rPr>
                    <w:sz w:val="18"/>
                  </w:rPr>
                  <w:t>5</w:t>
                </w:r>
                <w:r>
                  <w:rPr>
                    <w:rFonts w:hint="eastAsia"/>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中国建筑一局（集团）有限公司                                                塔吊安拆分包合同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中国建筑一局（集团）有限公司                                                 塔吊安拆分包合同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AA3"/>
    <w:multiLevelType w:val="multilevel"/>
    <w:tmpl w:val="0B487AA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C37E5A"/>
    <w:multiLevelType w:val="multilevel"/>
    <w:tmpl w:val="19C37E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0EF73FB"/>
    <w:multiLevelType w:val="multilevel"/>
    <w:tmpl w:val="30EF73F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E90E9F"/>
    <w:multiLevelType w:val="multilevel"/>
    <w:tmpl w:val="3FE90E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B620A0"/>
    <w:multiLevelType w:val="multilevel"/>
    <w:tmpl w:val="45B620A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6F84DD2"/>
    <w:multiLevelType w:val="multilevel"/>
    <w:tmpl w:val="46F84DD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A487F61"/>
    <w:multiLevelType w:val="multilevel"/>
    <w:tmpl w:val="4A487F6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56287551"/>
    <w:multiLevelType w:val="multilevel"/>
    <w:tmpl w:val="5628755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719DB25"/>
    <w:multiLevelType w:val="singleLevel"/>
    <w:tmpl w:val="5719DB25"/>
    <w:lvl w:ilvl="0" w:tentative="0">
      <w:start w:val="1"/>
      <w:numFmt w:val="decimal"/>
      <w:lvlText w:val="%1."/>
      <w:lvlJc w:val="left"/>
      <w:pPr>
        <w:tabs>
          <w:tab w:val="left" w:pos="425"/>
        </w:tabs>
        <w:ind w:left="425" w:hanging="425"/>
      </w:pPr>
      <w:rPr>
        <w:rFonts w:hint="default"/>
      </w:rPr>
    </w:lvl>
  </w:abstractNum>
  <w:abstractNum w:abstractNumId="9">
    <w:nsid w:val="5719DB74"/>
    <w:multiLevelType w:val="singleLevel"/>
    <w:tmpl w:val="5719DB74"/>
    <w:lvl w:ilvl="0" w:tentative="0">
      <w:start w:val="1"/>
      <w:numFmt w:val="decimal"/>
      <w:lvlText w:val="%1."/>
      <w:lvlJc w:val="left"/>
      <w:pPr>
        <w:tabs>
          <w:tab w:val="left" w:pos="425"/>
        </w:tabs>
        <w:ind w:left="425" w:hanging="425"/>
      </w:pPr>
      <w:rPr>
        <w:rFonts w:hint="default"/>
      </w:rPr>
    </w:lvl>
  </w:abstractNum>
  <w:abstractNum w:abstractNumId="10">
    <w:nsid w:val="5719E74A"/>
    <w:multiLevelType w:val="multilevel"/>
    <w:tmpl w:val="5719E74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5ADB8629"/>
    <w:multiLevelType w:val="singleLevel"/>
    <w:tmpl w:val="5ADB8629"/>
    <w:lvl w:ilvl="0" w:tentative="0">
      <w:start w:val="1"/>
      <w:numFmt w:val="decimal"/>
      <w:lvlText w:val="%1."/>
      <w:lvlJc w:val="left"/>
      <w:pPr>
        <w:ind w:left="425" w:hanging="425"/>
      </w:pPr>
      <w:rPr>
        <w:rFonts w:hint="default"/>
      </w:rPr>
    </w:lvl>
  </w:abstractNum>
  <w:abstractNum w:abstractNumId="12">
    <w:nsid w:val="5ADB863C"/>
    <w:multiLevelType w:val="singleLevel"/>
    <w:tmpl w:val="5ADB863C"/>
    <w:lvl w:ilvl="0" w:tentative="0">
      <w:start w:val="1"/>
      <w:numFmt w:val="decimal"/>
      <w:lvlText w:val="%1."/>
      <w:lvlJc w:val="left"/>
      <w:pPr>
        <w:ind w:left="425" w:hanging="425"/>
      </w:pPr>
      <w:rPr>
        <w:rFonts w:hint="default"/>
      </w:rPr>
    </w:lvl>
  </w:abstractNum>
  <w:abstractNum w:abstractNumId="13">
    <w:nsid w:val="5ADB8652"/>
    <w:multiLevelType w:val="singleLevel"/>
    <w:tmpl w:val="5ADB8652"/>
    <w:lvl w:ilvl="0" w:tentative="0">
      <w:start w:val="1"/>
      <w:numFmt w:val="decimal"/>
      <w:lvlText w:val="%1."/>
      <w:lvlJc w:val="left"/>
      <w:pPr>
        <w:ind w:left="425" w:hanging="425"/>
      </w:pPr>
      <w:rPr>
        <w:rFonts w:hint="default"/>
      </w:rPr>
    </w:lvl>
  </w:abstractNum>
  <w:abstractNum w:abstractNumId="14">
    <w:nsid w:val="5D1B2953"/>
    <w:multiLevelType w:val="multilevel"/>
    <w:tmpl w:val="5D1B295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2DF62BC"/>
    <w:multiLevelType w:val="multilevel"/>
    <w:tmpl w:val="62DF62B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EAD2721"/>
    <w:multiLevelType w:val="multilevel"/>
    <w:tmpl w:val="6EAD27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6F44573"/>
    <w:multiLevelType w:val="multilevel"/>
    <w:tmpl w:val="76F4457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78A34BAF"/>
    <w:multiLevelType w:val="multilevel"/>
    <w:tmpl w:val="78A34BA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90037FE"/>
    <w:multiLevelType w:val="multilevel"/>
    <w:tmpl w:val="790037F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6"/>
  </w:num>
  <w:num w:numId="2">
    <w:abstractNumId w:val="6"/>
  </w:num>
  <w:num w:numId="3">
    <w:abstractNumId w:val="3"/>
  </w:num>
  <w:num w:numId="4">
    <w:abstractNumId w:val="0"/>
  </w:num>
  <w:num w:numId="5">
    <w:abstractNumId w:val="2"/>
  </w:num>
  <w:num w:numId="6">
    <w:abstractNumId w:val="10"/>
  </w:num>
  <w:num w:numId="7">
    <w:abstractNumId w:val="1"/>
  </w:num>
  <w:num w:numId="8">
    <w:abstractNumId w:val="5"/>
  </w:num>
  <w:num w:numId="9">
    <w:abstractNumId w:val="15"/>
  </w:num>
  <w:num w:numId="10">
    <w:abstractNumId w:val="19"/>
  </w:num>
  <w:num w:numId="11">
    <w:abstractNumId w:val="17"/>
  </w:num>
  <w:num w:numId="12">
    <w:abstractNumId w:val="11"/>
  </w:num>
  <w:num w:numId="13">
    <w:abstractNumId w:val="12"/>
  </w:num>
  <w:num w:numId="14">
    <w:abstractNumId w:val="13"/>
  </w:num>
  <w:num w:numId="15">
    <w:abstractNumId w:val="7"/>
  </w:num>
  <w:num w:numId="16">
    <w:abstractNumId w:val="14"/>
  </w:num>
  <w:num w:numId="17">
    <w:abstractNumId w:val="18"/>
  </w:num>
  <w:num w:numId="18">
    <w:abstractNumId w:val="4"/>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51A"/>
    <w:rsid w:val="00020C04"/>
    <w:rsid w:val="000224E9"/>
    <w:rsid w:val="00024EBA"/>
    <w:rsid w:val="00031054"/>
    <w:rsid w:val="00034850"/>
    <w:rsid w:val="000370A4"/>
    <w:rsid w:val="000414D3"/>
    <w:rsid w:val="0004666A"/>
    <w:rsid w:val="00053327"/>
    <w:rsid w:val="000572ED"/>
    <w:rsid w:val="000576F6"/>
    <w:rsid w:val="00057F58"/>
    <w:rsid w:val="0006163B"/>
    <w:rsid w:val="0006760A"/>
    <w:rsid w:val="000677B7"/>
    <w:rsid w:val="00072FDE"/>
    <w:rsid w:val="000833CB"/>
    <w:rsid w:val="0008384F"/>
    <w:rsid w:val="0009305B"/>
    <w:rsid w:val="00096186"/>
    <w:rsid w:val="000970AC"/>
    <w:rsid w:val="000A62B0"/>
    <w:rsid w:val="000A69D0"/>
    <w:rsid w:val="000B4457"/>
    <w:rsid w:val="000B4D17"/>
    <w:rsid w:val="000B5091"/>
    <w:rsid w:val="000B515F"/>
    <w:rsid w:val="000B5A6D"/>
    <w:rsid w:val="000B71D1"/>
    <w:rsid w:val="000C4BB3"/>
    <w:rsid w:val="000C580E"/>
    <w:rsid w:val="00115963"/>
    <w:rsid w:val="001161EE"/>
    <w:rsid w:val="0012498A"/>
    <w:rsid w:val="00124A07"/>
    <w:rsid w:val="00134239"/>
    <w:rsid w:val="001358BF"/>
    <w:rsid w:val="0013772F"/>
    <w:rsid w:val="0014152E"/>
    <w:rsid w:val="001509E9"/>
    <w:rsid w:val="00152E12"/>
    <w:rsid w:val="0015351F"/>
    <w:rsid w:val="00153BE8"/>
    <w:rsid w:val="00157173"/>
    <w:rsid w:val="00165078"/>
    <w:rsid w:val="00170DE8"/>
    <w:rsid w:val="00177576"/>
    <w:rsid w:val="0018097C"/>
    <w:rsid w:val="0018240B"/>
    <w:rsid w:val="00186753"/>
    <w:rsid w:val="00186D36"/>
    <w:rsid w:val="0019608B"/>
    <w:rsid w:val="00196BA8"/>
    <w:rsid w:val="001A5AFC"/>
    <w:rsid w:val="001A5E4E"/>
    <w:rsid w:val="001A7423"/>
    <w:rsid w:val="001B0B56"/>
    <w:rsid w:val="001B3AA5"/>
    <w:rsid w:val="001C5874"/>
    <w:rsid w:val="001D6253"/>
    <w:rsid w:val="001E0483"/>
    <w:rsid w:val="001E12A6"/>
    <w:rsid w:val="001F3FC2"/>
    <w:rsid w:val="001F4A62"/>
    <w:rsid w:val="001F6911"/>
    <w:rsid w:val="0020357E"/>
    <w:rsid w:val="0020516F"/>
    <w:rsid w:val="0020690D"/>
    <w:rsid w:val="00207609"/>
    <w:rsid w:val="00212E79"/>
    <w:rsid w:val="00220A5A"/>
    <w:rsid w:val="00224F6F"/>
    <w:rsid w:val="00231B5E"/>
    <w:rsid w:val="002357E1"/>
    <w:rsid w:val="0024159B"/>
    <w:rsid w:val="00244A03"/>
    <w:rsid w:val="00244D1B"/>
    <w:rsid w:val="00250377"/>
    <w:rsid w:val="00251BD9"/>
    <w:rsid w:val="00266324"/>
    <w:rsid w:val="00266577"/>
    <w:rsid w:val="0026778E"/>
    <w:rsid w:val="002733EB"/>
    <w:rsid w:val="00282C79"/>
    <w:rsid w:val="00287BE6"/>
    <w:rsid w:val="00292A73"/>
    <w:rsid w:val="00295337"/>
    <w:rsid w:val="002B4EE9"/>
    <w:rsid w:val="002B656D"/>
    <w:rsid w:val="002C0106"/>
    <w:rsid w:val="002C3802"/>
    <w:rsid w:val="002C4838"/>
    <w:rsid w:val="002D21D3"/>
    <w:rsid w:val="002D50BF"/>
    <w:rsid w:val="002E3718"/>
    <w:rsid w:val="002E3EF5"/>
    <w:rsid w:val="002E578C"/>
    <w:rsid w:val="002E5A3B"/>
    <w:rsid w:val="002F10E7"/>
    <w:rsid w:val="002F5DFD"/>
    <w:rsid w:val="002F76BD"/>
    <w:rsid w:val="00311112"/>
    <w:rsid w:val="00311305"/>
    <w:rsid w:val="003124FB"/>
    <w:rsid w:val="00312814"/>
    <w:rsid w:val="00320BE9"/>
    <w:rsid w:val="00322242"/>
    <w:rsid w:val="00324574"/>
    <w:rsid w:val="00330EFE"/>
    <w:rsid w:val="00331F23"/>
    <w:rsid w:val="00334853"/>
    <w:rsid w:val="003360E1"/>
    <w:rsid w:val="00337A5B"/>
    <w:rsid w:val="00337D52"/>
    <w:rsid w:val="00343B64"/>
    <w:rsid w:val="00356032"/>
    <w:rsid w:val="003613AE"/>
    <w:rsid w:val="0036411A"/>
    <w:rsid w:val="003659A9"/>
    <w:rsid w:val="00366285"/>
    <w:rsid w:val="00367828"/>
    <w:rsid w:val="00371930"/>
    <w:rsid w:val="00373BFF"/>
    <w:rsid w:val="003747A8"/>
    <w:rsid w:val="003827E3"/>
    <w:rsid w:val="003910FF"/>
    <w:rsid w:val="00396EE3"/>
    <w:rsid w:val="003C01DC"/>
    <w:rsid w:val="003C473F"/>
    <w:rsid w:val="003E540C"/>
    <w:rsid w:val="003E5777"/>
    <w:rsid w:val="003F2D88"/>
    <w:rsid w:val="003F3033"/>
    <w:rsid w:val="00404D0F"/>
    <w:rsid w:val="004170F0"/>
    <w:rsid w:val="00420CDA"/>
    <w:rsid w:val="00433AD1"/>
    <w:rsid w:val="004354D0"/>
    <w:rsid w:val="0044422E"/>
    <w:rsid w:val="00452015"/>
    <w:rsid w:val="0046241A"/>
    <w:rsid w:val="004645FE"/>
    <w:rsid w:val="00473CEE"/>
    <w:rsid w:val="0047619D"/>
    <w:rsid w:val="00481CCD"/>
    <w:rsid w:val="004874F3"/>
    <w:rsid w:val="00490B4A"/>
    <w:rsid w:val="00492763"/>
    <w:rsid w:val="004B69E4"/>
    <w:rsid w:val="004C2564"/>
    <w:rsid w:val="004D656D"/>
    <w:rsid w:val="004D6864"/>
    <w:rsid w:val="004D7192"/>
    <w:rsid w:val="004F26EE"/>
    <w:rsid w:val="004F5673"/>
    <w:rsid w:val="004F6CDD"/>
    <w:rsid w:val="00503286"/>
    <w:rsid w:val="00512D9C"/>
    <w:rsid w:val="00513737"/>
    <w:rsid w:val="005257F2"/>
    <w:rsid w:val="00526B0B"/>
    <w:rsid w:val="00546C97"/>
    <w:rsid w:val="0054795B"/>
    <w:rsid w:val="005516CB"/>
    <w:rsid w:val="00556F47"/>
    <w:rsid w:val="005823FF"/>
    <w:rsid w:val="00585522"/>
    <w:rsid w:val="005878E2"/>
    <w:rsid w:val="00591E01"/>
    <w:rsid w:val="005930E3"/>
    <w:rsid w:val="005A4A10"/>
    <w:rsid w:val="005B34B5"/>
    <w:rsid w:val="005B5016"/>
    <w:rsid w:val="005B5643"/>
    <w:rsid w:val="005B58F6"/>
    <w:rsid w:val="005C0BA5"/>
    <w:rsid w:val="005C4441"/>
    <w:rsid w:val="005C7BD3"/>
    <w:rsid w:val="005F2C2F"/>
    <w:rsid w:val="005F3A4E"/>
    <w:rsid w:val="00614FA0"/>
    <w:rsid w:val="0062754A"/>
    <w:rsid w:val="006352D6"/>
    <w:rsid w:val="00636E6F"/>
    <w:rsid w:val="00642BFE"/>
    <w:rsid w:val="00646709"/>
    <w:rsid w:val="006518DF"/>
    <w:rsid w:val="0065514F"/>
    <w:rsid w:val="00664C41"/>
    <w:rsid w:val="0066609C"/>
    <w:rsid w:val="00666184"/>
    <w:rsid w:val="00667237"/>
    <w:rsid w:val="00671015"/>
    <w:rsid w:val="00685456"/>
    <w:rsid w:val="00685A88"/>
    <w:rsid w:val="006901F9"/>
    <w:rsid w:val="00692256"/>
    <w:rsid w:val="006968BA"/>
    <w:rsid w:val="006A257C"/>
    <w:rsid w:val="006A616C"/>
    <w:rsid w:val="006B0479"/>
    <w:rsid w:val="006B3573"/>
    <w:rsid w:val="006C5D9B"/>
    <w:rsid w:val="006C61A4"/>
    <w:rsid w:val="006D5AD3"/>
    <w:rsid w:val="006E0F39"/>
    <w:rsid w:val="006E3383"/>
    <w:rsid w:val="006E3DA8"/>
    <w:rsid w:val="006E5C4A"/>
    <w:rsid w:val="00711E7B"/>
    <w:rsid w:val="00714B21"/>
    <w:rsid w:val="00721DCF"/>
    <w:rsid w:val="00727F37"/>
    <w:rsid w:val="00730865"/>
    <w:rsid w:val="00732D9F"/>
    <w:rsid w:val="0073524E"/>
    <w:rsid w:val="00736675"/>
    <w:rsid w:val="00736B5B"/>
    <w:rsid w:val="007426CD"/>
    <w:rsid w:val="007539BB"/>
    <w:rsid w:val="007547D1"/>
    <w:rsid w:val="00772619"/>
    <w:rsid w:val="007733BA"/>
    <w:rsid w:val="00777A8A"/>
    <w:rsid w:val="00791150"/>
    <w:rsid w:val="007926C5"/>
    <w:rsid w:val="00796992"/>
    <w:rsid w:val="007A16BC"/>
    <w:rsid w:val="007A1E00"/>
    <w:rsid w:val="007A79F9"/>
    <w:rsid w:val="007B6C55"/>
    <w:rsid w:val="007D5804"/>
    <w:rsid w:val="007E5CE5"/>
    <w:rsid w:val="007E65D7"/>
    <w:rsid w:val="007F12CA"/>
    <w:rsid w:val="007F306C"/>
    <w:rsid w:val="007F3AB8"/>
    <w:rsid w:val="007F6943"/>
    <w:rsid w:val="00801622"/>
    <w:rsid w:val="008047FC"/>
    <w:rsid w:val="00806127"/>
    <w:rsid w:val="00813033"/>
    <w:rsid w:val="008275BE"/>
    <w:rsid w:val="008341BE"/>
    <w:rsid w:val="008367FC"/>
    <w:rsid w:val="008410F2"/>
    <w:rsid w:val="0084635C"/>
    <w:rsid w:val="00847F77"/>
    <w:rsid w:val="00854FB3"/>
    <w:rsid w:val="00861A81"/>
    <w:rsid w:val="008668FE"/>
    <w:rsid w:val="0086694D"/>
    <w:rsid w:val="00870740"/>
    <w:rsid w:val="00874C84"/>
    <w:rsid w:val="00876A19"/>
    <w:rsid w:val="00877670"/>
    <w:rsid w:val="00881ADA"/>
    <w:rsid w:val="0088335E"/>
    <w:rsid w:val="00883759"/>
    <w:rsid w:val="0089200F"/>
    <w:rsid w:val="00896F72"/>
    <w:rsid w:val="00897055"/>
    <w:rsid w:val="008A5CFA"/>
    <w:rsid w:val="008B29C9"/>
    <w:rsid w:val="008B37F5"/>
    <w:rsid w:val="008C2BD8"/>
    <w:rsid w:val="008D143B"/>
    <w:rsid w:val="008D4771"/>
    <w:rsid w:val="008D6A70"/>
    <w:rsid w:val="008E045C"/>
    <w:rsid w:val="008E29D0"/>
    <w:rsid w:val="008F58AB"/>
    <w:rsid w:val="008F7A6A"/>
    <w:rsid w:val="00920E4C"/>
    <w:rsid w:val="00922458"/>
    <w:rsid w:val="009235CC"/>
    <w:rsid w:val="00927517"/>
    <w:rsid w:val="0093499F"/>
    <w:rsid w:val="00955385"/>
    <w:rsid w:val="0096670B"/>
    <w:rsid w:val="009732A2"/>
    <w:rsid w:val="00980AC2"/>
    <w:rsid w:val="00983535"/>
    <w:rsid w:val="009926A3"/>
    <w:rsid w:val="009946F9"/>
    <w:rsid w:val="00995887"/>
    <w:rsid w:val="009A0571"/>
    <w:rsid w:val="009A4121"/>
    <w:rsid w:val="009A5997"/>
    <w:rsid w:val="009B7DCC"/>
    <w:rsid w:val="009C0E0B"/>
    <w:rsid w:val="009C1F9D"/>
    <w:rsid w:val="009C36F6"/>
    <w:rsid w:val="009D0230"/>
    <w:rsid w:val="009D141A"/>
    <w:rsid w:val="009D2F0F"/>
    <w:rsid w:val="009D6A41"/>
    <w:rsid w:val="009E2959"/>
    <w:rsid w:val="009E2DE8"/>
    <w:rsid w:val="009F02A4"/>
    <w:rsid w:val="009F0EC2"/>
    <w:rsid w:val="009F143A"/>
    <w:rsid w:val="009F2456"/>
    <w:rsid w:val="00A03BBA"/>
    <w:rsid w:val="00A03DC4"/>
    <w:rsid w:val="00A04B68"/>
    <w:rsid w:val="00A0515E"/>
    <w:rsid w:val="00A11F85"/>
    <w:rsid w:val="00A122F9"/>
    <w:rsid w:val="00A1256C"/>
    <w:rsid w:val="00A16B90"/>
    <w:rsid w:val="00A16D29"/>
    <w:rsid w:val="00A202F8"/>
    <w:rsid w:val="00A221FC"/>
    <w:rsid w:val="00A2591F"/>
    <w:rsid w:val="00A50B24"/>
    <w:rsid w:val="00A5246A"/>
    <w:rsid w:val="00A5467C"/>
    <w:rsid w:val="00A553D6"/>
    <w:rsid w:val="00A557BB"/>
    <w:rsid w:val="00A6351A"/>
    <w:rsid w:val="00A721D9"/>
    <w:rsid w:val="00A741D6"/>
    <w:rsid w:val="00A74E55"/>
    <w:rsid w:val="00A81632"/>
    <w:rsid w:val="00A93BE3"/>
    <w:rsid w:val="00A943C4"/>
    <w:rsid w:val="00AA6CAF"/>
    <w:rsid w:val="00AA7C29"/>
    <w:rsid w:val="00AB0FC2"/>
    <w:rsid w:val="00AC2D91"/>
    <w:rsid w:val="00AC50F8"/>
    <w:rsid w:val="00AE02BA"/>
    <w:rsid w:val="00B0044C"/>
    <w:rsid w:val="00B03F63"/>
    <w:rsid w:val="00B14609"/>
    <w:rsid w:val="00B16B29"/>
    <w:rsid w:val="00B339D8"/>
    <w:rsid w:val="00B370FE"/>
    <w:rsid w:val="00B620A1"/>
    <w:rsid w:val="00B6341B"/>
    <w:rsid w:val="00B706B9"/>
    <w:rsid w:val="00B71CE6"/>
    <w:rsid w:val="00B863C7"/>
    <w:rsid w:val="00B87B85"/>
    <w:rsid w:val="00BA7336"/>
    <w:rsid w:val="00BA76C1"/>
    <w:rsid w:val="00BB131B"/>
    <w:rsid w:val="00BB280B"/>
    <w:rsid w:val="00BB3A84"/>
    <w:rsid w:val="00BB4C6B"/>
    <w:rsid w:val="00BC2736"/>
    <w:rsid w:val="00BC37E7"/>
    <w:rsid w:val="00BD23AC"/>
    <w:rsid w:val="00BD345B"/>
    <w:rsid w:val="00BD5ACD"/>
    <w:rsid w:val="00BD77CA"/>
    <w:rsid w:val="00BE577C"/>
    <w:rsid w:val="00BE6620"/>
    <w:rsid w:val="00BF5E27"/>
    <w:rsid w:val="00C04B3B"/>
    <w:rsid w:val="00C06D61"/>
    <w:rsid w:val="00C07500"/>
    <w:rsid w:val="00C11B9A"/>
    <w:rsid w:val="00C139F0"/>
    <w:rsid w:val="00C14C75"/>
    <w:rsid w:val="00C1736D"/>
    <w:rsid w:val="00C20883"/>
    <w:rsid w:val="00C21926"/>
    <w:rsid w:val="00C30E97"/>
    <w:rsid w:val="00C34A48"/>
    <w:rsid w:val="00C3740C"/>
    <w:rsid w:val="00C41656"/>
    <w:rsid w:val="00C42A2E"/>
    <w:rsid w:val="00C51715"/>
    <w:rsid w:val="00C52805"/>
    <w:rsid w:val="00C56554"/>
    <w:rsid w:val="00C56E3A"/>
    <w:rsid w:val="00C63947"/>
    <w:rsid w:val="00C75342"/>
    <w:rsid w:val="00C75698"/>
    <w:rsid w:val="00C760C1"/>
    <w:rsid w:val="00C9483D"/>
    <w:rsid w:val="00C9612F"/>
    <w:rsid w:val="00CB0AB6"/>
    <w:rsid w:val="00CB4D1A"/>
    <w:rsid w:val="00CB5551"/>
    <w:rsid w:val="00CC2BB0"/>
    <w:rsid w:val="00CC7EB4"/>
    <w:rsid w:val="00CD4337"/>
    <w:rsid w:val="00CF17CD"/>
    <w:rsid w:val="00CF2404"/>
    <w:rsid w:val="00CF4169"/>
    <w:rsid w:val="00CF7121"/>
    <w:rsid w:val="00D1245C"/>
    <w:rsid w:val="00D464F2"/>
    <w:rsid w:val="00D526A7"/>
    <w:rsid w:val="00D53BA0"/>
    <w:rsid w:val="00D5417C"/>
    <w:rsid w:val="00D56962"/>
    <w:rsid w:val="00D57394"/>
    <w:rsid w:val="00D57FC9"/>
    <w:rsid w:val="00D6002C"/>
    <w:rsid w:val="00D606E8"/>
    <w:rsid w:val="00D67E2D"/>
    <w:rsid w:val="00D731B7"/>
    <w:rsid w:val="00D760A3"/>
    <w:rsid w:val="00D826B8"/>
    <w:rsid w:val="00D838E9"/>
    <w:rsid w:val="00D90186"/>
    <w:rsid w:val="00D90C93"/>
    <w:rsid w:val="00D90E47"/>
    <w:rsid w:val="00D923F8"/>
    <w:rsid w:val="00D926AD"/>
    <w:rsid w:val="00D967F5"/>
    <w:rsid w:val="00DA131B"/>
    <w:rsid w:val="00DA6EB8"/>
    <w:rsid w:val="00DB2206"/>
    <w:rsid w:val="00DB6483"/>
    <w:rsid w:val="00DB78B3"/>
    <w:rsid w:val="00DC0D35"/>
    <w:rsid w:val="00DC417F"/>
    <w:rsid w:val="00DC5028"/>
    <w:rsid w:val="00DC65FE"/>
    <w:rsid w:val="00DD1552"/>
    <w:rsid w:val="00DD345F"/>
    <w:rsid w:val="00DE2EDD"/>
    <w:rsid w:val="00DF1556"/>
    <w:rsid w:val="00DF4F8C"/>
    <w:rsid w:val="00E03D07"/>
    <w:rsid w:val="00E0748D"/>
    <w:rsid w:val="00E11326"/>
    <w:rsid w:val="00E12A53"/>
    <w:rsid w:val="00E20051"/>
    <w:rsid w:val="00E213B4"/>
    <w:rsid w:val="00E22425"/>
    <w:rsid w:val="00E22901"/>
    <w:rsid w:val="00E32950"/>
    <w:rsid w:val="00E4407D"/>
    <w:rsid w:val="00E503C5"/>
    <w:rsid w:val="00E52911"/>
    <w:rsid w:val="00E608DE"/>
    <w:rsid w:val="00E741D6"/>
    <w:rsid w:val="00E7535E"/>
    <w:rsid w:val="00E766A4"/>
    <w:rsid w:val="00E8434C"/>
    <w:rsid w:val="00E85CDE"/>
    <w:rsid w:val="00EB76E7"/>
    <w:rsid w:val="00EC4E40"/>
    <w:rsid w:val="00EC5668"/>
    <w:rsid w:val="00EC7157"/>
    <w:rsid w:val="00ED0A67"/>
    <w:rsid w:val="00EE6614"/>
    <w:rsid w:val="00EE6B81"/>
    <w:rsid w:val="00EF2160"/>
    <w:rsid w:val="00EF4415"/>
    <w:rsid w:val="00EF5924"/>
    <w:rsid w:val="00F123E4"/>
    <w:rsid w:val="00F14C21"/>
    <w:rsid w:val="00F30D25"/>
    <w:rsid w:val="00F30F0C"/>
    <w:rsid w:val="00F3641F"/>
    <w:rsid w:val="00F4233A"/>
    <w:rsid w:val="00F45044"/>
    <w:rsid w:val="00F54AE6"/>
    <w:rsid w:val="00F55E3B"/>
    <w:rsid w:val="00F626FF"/>
    <w:rsid w:val="00F91ECA"/>
    <w:rsid w:val="00FB3A64"/>
    <w:rsid w:val="00FC03E9"/>
    <w:rsid w:val="00FC2FC5"/>
    <w:rsid w:val="00FC34D1"/>
    <w:rsid w:val="00FC48AB"/>
    <w:rsid w:val="00FD313C"/>
    <w:rsid w:val="00FD587A"/>
    <w:rsid w:val="00FE12DD"/>
    <w:rsid w:val="00FE4AD3"/>
    <w:rsid w:val="00FE54E2"/>
    <w:rsid w:val="00FF003B"/>
    <w:rsid w:val="00FF1F83"/>
    <w:rsid w:val="0211024F"/>
    <w:rsid w:val="045402D3"/>
    <w:rsid w:val="046D674A"/>
    <w:rsid w:val="05674729"/>
    <w:rsid w:val="067C1B9C"/>
    <w:rsid w:val="0788106B"/>
    <w:rsid w:val="08245193"/>
    <w:rsid w:val="099B002F"/>
    <w:rsid w:val="0C18550A"/>
    <w:rsid w:val="0CB14C42"/>
    <w:rsid w:val="0D665A7A"/>
    <w:rsid w:val="0E706681"/>
    <w:rsid w:val="112B767C"/>
    <w:rsid w:val="11436C67"/>
    <w:rsid w:val="1179719C"/>
    <w:rsid w:val="12236F18"/>
    <w:rsid w:val="14EA75EF"/>
    <w:rsid w:val="17433A6D"/>
    <w:rsid w:val="18941FD8"/>
    <w:rsid w:val="19C21DE6"/>
    <w:rsid w:val="1A1E52F0"/>
    <w:rsid w:val="1AD978FD"/>
    <w:rsid w:val="1C4604FC"/>
    <w:rsid w:val="1CC44463"/>
    <w:rsid w:val="1E34455B"/>
    <w:rsid w:val="23476413"/>
    <w:rsid w:val="23804013"/>
    <w:rsid w:val="25467AF6"/>
    <w:rsid w:val="27067553"/>
    <w:rsid w:val="2B622FF3"/>
    <w:rsid w:val="2CD34558"/>
    <w:rsid w:val="30196DB9"/>
    <w:rsid w:val="322A5D79"/>
    <w:rsid w:val="32693CAD"/>
    <w:rsid w:val="35035F2C"/>
    <w:rsid w:val="35C8546A"/>
    <w:rsid w:val="37531A9E"/>
    <w:rsid w:val="37747339"/>
    <w:rsid w:val="380D3155"/>
    <w:rsid w:val="383D2137"/>
    <w:rsid w:val="38C03936"/>
    <w:rsid w:val="38EC5575"/>
    <w:rsid w:val="3A8644D4"/>
    <w:rsid w:val="3BFD332E"/>
    <w:rsid w:val="3E9F4A57"/>
    <w:rsid w:val="3F596CB7"/>
    <w:rsid w:val="405B1588"/>
    <w:rsid w:val="41F54707"/>
    <w:rsid w:val="45E971D5"/>
    <w:rsid w:val="46D865AD"/>
    <w:rsid w:val="48774698"/>
    <w:rsid w:val="48D61A6A"/>
    <w:rsid w:val="49927A7A"/>
    <w:rsid w:val="49EE3791"/>
    <w:rsid w:val="4A5D5202"/>
    <w:rsid w:val="4BC20806"/>
    <w:rsid w:val="4C1F530D"/>
    <w:rsid w:val="501D05AB"/>
    <w:rsid w:val="50273E50"/>
    <w:rsid w:val="50BD53EE"/>
    <w:rsid w:val="50D95824"/>
    <w:rsid w:val="50E35BBF"/>
    <w:rsid w:val="519B26E0"/>
    <w:rsid w:val="51B44332"/>
    <w:rsid w:val="526574CD"/>
    <w:rsid w:val="52974408"/>
    <w:rsid w:val="53335CF5"/>
    <w:rsid w:val="540E072A"/>
    <w:rsid w:val="55040093"/>
    <w:rsid w:val="579A3E94"/>
    <w:rsid w:val="57CC7E44"/>
    <w:rsid w:val="58130315"/>
    <w:rsid w:val="5AD61FAE"/>
    <w:rsid w:val="5C703D44"/>
    <w:rsid w:val="5D6033BE"/>
    <w:rsid w:val="5EC17BB2"/>
    <w:rsid w:val="5F4070E8"/>
    <w:rsid w:val="5F5059DE"/>
    <w:rsid w:val="619B3449"/>
    <w:rsid w:val="64442289"/>
    <w:rsid w:val="66E16AC0"/>
    <w:rsid w:val="67B642AC"/>
    <w:rsid w:val="6E9A0CEA"/>
    <w:rsid w:val="6EB150AA"/>
    <w:rsid w:val="7283541A"/>
    <w:rsid w:val="73097A28"/>
    <w:rsid w:val="731B7AEE"/>
    <w:rsid w:val="73780B0A"/>
    <w:rsid w:val="74991F19"/>
    <w:rsid w:val="74B2531A"/>
    <w:rsid w:val="74E629D3"/>
    <w:rsid w:val="783C7B28"/>
    <w:rsid w:val="7AC05A02"/>
    <w:rsid w:val="7BF73E17"/>
    <w:rsid w:val="7D433ECD"/>
    <w:rsid w:val="7DAB60C3"/>
    <w:rsid w:val="7DC1621E"/>
    <w:rsid w:val="7E996EC6"/>
    <w:rsid w:val="7F474226"/>
    <w:rsid w:val="7F5870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3"/>
    <w:qFormat/>
    <w:uiPriority w:val="0"/>
    <w:pPr>
      <w:keepNext/>
      <w:keepLines/>
      <w:spacing w:before="340" w:after="330" w:line="576" w:lineRule="auto"/>
      <w:outlineLvl w:val="0"/>
    </w:pPr>
    <w:rPr>
      <w:b/>
      <w:kern w:val="44"/>
    </w:rPr>
  </w:style>
  <w:style w:type="paragraph" w:styleId="3">
    <w:name w:val="heading 2"/>
    <w:basedOn w:val="1"/>
    <w:next w:val="1"/>
    <w:link w:val="27"/>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4"/>
    <w:qFormat/>
    <w:uiPriority w:val="0"/>
    <w:pPr>
      <w:keepNext/>
      <w:keepLines/>
      <w:spacing w:before="260" w:after="260" w:line="413" w:lineRule="auto"/>
      <w:outlineLvl w:val="2"/>
    </w:pPr>
    <w:rPr>
      <w:b/>
      <w:kern w:val="0"/>
      <w:sz w:val="32"/>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 w:val="24"/>
    </w:rPr>
  </w:style>
  <w:style w:type="paragraph" w:styleId="6">
    <w:name w:val="annotation text"/>
    <w:basedOn w:val="1"/>
    <w:link w:val="28"/>
    <w:unhideWhenUsed/>
    <w:qFormat/>
    <w:uiPriority w:val="99"/>
    <w:pPr>
      <w:jc w:val="left"/>
    </w:pPr>
  </w:style>
  <w:style w:type="paragraph" w:styleId="7">
    <w:name w:val="toc 3"/>
    <w:basedOn w:val="1"/>
    <w:next w:val="1"/>
    <w:qFormat/>
    <w:uiPriority w:val="0"/>
    <w:pPr>
      <w:ind w:left="420"/>
      <w:jc w:val="left"/>
    </w:pPr>
    <w:rPr>
      <w:i/>
      <w:sz w:val="20"/>
    </w:rPr>
  </w:style>
  <w:style w:type="paragraph" w:styleId="8">
    <w:name w:val="Plain Text"/>
    <w:basedOn w:val="1"/>
    <w:link w:val="26"/>
    <w:qFormat/>
    <w:uiPriority w:val="0"/>
    <w:rPr>
      <w:rFonts w:ascii="宋体" w:hAnsi="Courier New"/>
      <w:kern w:val="0"/>
      <w:sz w:val="20"/>
    </w:rPr>
  </w:style>
  <w:style w:type="paragraph" w:styleId="9">
    <w:name w:val="Date"/>
    <w:basedOn w:val="1"/>
    <w:next w:val="1"/>
    <w:unhideWhenUsed/>
    <w:qFormat/>
    <w:uiPriority w:val="0"/>
    <w:pPr>
      <w:ind w:left="100" w:leftChars="2500"/>
    </w:pPr>
  </w:style>
  <w:style w:type="paragraph" w:styleId="10">
    <w:name w:val="Body Text Indent 2"/>
    <w:basedOn w:val="1"/>
    <w:link w:val="25"/>
    <w:qFormat/>
    <w:uiPriority w:val="0"/>
    <w:pPr>
      <w:ind w:left="2" w:firstLine="540" w:firstLineChars="225"/>
    </w:pPr>
    <w:rPr>
      <w:rFonts w:ascii="宋体"/>
      <w:color w:val="FF0000"/>
      <w:kern w:val="0"/>
      <w:sz w:val="24"/>
    </w:rPr>
  </w:style>
  <w:style w:type="paragraph" w:styleId="11">
    <w:name w:val="Balloon Text"/>
    <w:basedOn w:val="1"/>
    <w:link w:val="29"/>
    <w:unhideWhenUsed/>
    <w:qFormat/>
    <w:uiPriority w:val="0"/>
    <w:rPr>
      <w:sz w:val="18"/>
      <w:szCs w:val="18"/>
    </w:rPr>
  </w:style>
  <w:style w:type="paragraph" w:styleId="12">
    <w:name w:val="footer"/>
    <w:basedOn w:val="1"/>
    <w:link w:val="22"/>
    <w:unhideWhenUsed/>
    <w:qFormat/>
    <w:uiPriority w:val="99"/>
    <w:pPr>
      <w:tabs>
        <w:tab w:val="center" w:pos="4153"/>
        <w:tab w:val="right" w:pos="8306"/>
      </w:tabs>
      <w:snapToGrid w:val="0"/>
      <w:jc w:val="left"/>
    </w:pPr>
    <w:rPr>
      <w:kern w:val="0"/>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unhideWhenUsed/>
    <w:qFormat/>
    <w:uiPriority w:val="39"/>
    <w:pPr>
      <w:tabs>
        <w:tab w:val="right" w:leader="dot" w:pos="8296"/>
      </w:tabs>
      <w:spacing w:line="360" w:lineRule="auto"/>
    </w:pPr>
  </w:style>
  <w:style w:type="paragraph" w:styleId="15">
    <w:name w:val="toc 2"/>
    <w:basedOn w:val="1"/>
    <w:next w:val="1"/>
    <w:qFormat/>
    <w:uiPriority w:val="39"/>
    <w:pPr>
      <w:ind w:left="210"/>
      <w:jc w:val="left"/>
    </w:pPr>
    <w:rPr>
      <w:smallCaps/>
      <w:sz w:val="20"/>
    </w:rPr>
  </w:style>
  <w:style w:type="paragraph" w:styleId="16">
    <w:name w:val="Normal (Web)"/>
    <w:basedOn w:val="1"/>
    <w:qFormat/>
    <w:uiPriority w:val="99"/>
    <w:pPr>
      <w:widowControl/>
      <w:spacing w:before="100" w:after="100"/>
      <w:jc w:val="left"/>
    </w:pPr>
    <w:rPr>
      <w:rFonts w:ascii="宋体" w:hAnsi="宋体"/>
      <w:kern w:val="0"/>
      <w:sz w:val="24"/>
    </w:rPr>
  </w:style>
  <w:style w:type="character" w:styleId="19">
    <w:name w:val="Hyperlink"/>
    <w:qFormat/>
    <w:uiPriority w:val="99"/>
    <w:rPr>
      <w:color w:val="0000FF"/>
      <w:u w:val="single"/>
    </w:rPr>
  </w:style>
  <w:style w:type="paragraph" w:customStyle="1" w:styleId="20">
    <w:name w:val="列出段落1"/>
    <w:basedOn w:val="1"/>
    <w:qFormat/>
    <w:uiPriority w:val="34"/>
    <w:pPr>
      <w:ind w:firstLine="420" w:firstLineChars="200"/>
    </w:pPr>
  </w:style>
  <w:style w:type="character" w:customStyle="1" w:styleId="21">
    <w:name w:val="页眉 字符"/>
    <w:link w:val="13"/>
    <w:qFormat/>
    <w:uiPriority w:val="99"/>
    <w:rPr>
      <w:sz w:val="18"/>
      <w:szCs w:val="18"/>
    </w:rPr>
  </w:style>
  <w:style w:type="character" w:customStyle="1" w:styleId="22">
    <w:name w:val="页脚 字符"/>
    <w:link w:val="12"/>
    <w:qFormat/>
    <w:uiPriority w:val="99"/>
    <w:rPr>
      <w:sz w:val="18"/>
      <w:szCs w:val="18"/>
    </w:rPr>
  </w:style>
  <w:style w:type="character" w:customStyle="1" w:styleId="23">
    <w:name w:val="标题 1 字符"/>
    <w:link w:val="2"/>
    <w:qFormat/>
    <w:uiPriority w:val="0"/>
    <w:rPr>
      <w:b/>
      <w:kern w:val="44"/>
      <w:sz w:val="21"/>
    </w:rPr>
  </w:style>
  <w:style w:type="character" w:customStyle="1" w:styleId="24">
    <w:name w:val="标题 3 字符"/>
    <w:link w:val="4"/>
    <w:qFormat/>
    <w:uiPriority w:val="0"/>
    <w:rPr>
      <w:rFonts w:ascii="Times New Roman" w:hAnsi="Times New Roman" w:eastAsia="宋体" w:cs="Times New Roman"/>
      <w:b/>
      <w:sz w:val="32"/>
      <w:szCs w:val="20"/>
    </w:rPr>
  </w:style>
  <w:style w:type="character" w:customStyle="1" w:styleId="25">
    <w:name w:val="正文文本缩进 2 字符"/>
    <w:link w:val="10"/>
    <w:qFormat/>
    <w:uiPriority w:val="0"/>
    <w:rPr>
      <w:rFonts w:ascii="宋体" w:hAnsi="Times New Roman" w:eastAsia="宋体" w:cs="Times New Roman"/>
      <w:color w:val="FF0000"/>
      <w:sz w:val="24"/>
      <w:szCs w:val="20"/>
    </w:rPr>
  </w:style>
  <w:style w:type="character" w:customStyle="1" w:styleId="26">
    <w:name w:val="纯文本 字符"/>
    <w:link w:val="8"/>
    <w:qFormat/>
    <w:uiPriority w:val="0"/>
    <w:rPr>
      <w:rFonts w:ascii="宋体" w:hAnsi="Courier New" w:eastAsia="宋体" w:cs="Times New Roman"/>
      <w:szCs w:val="20"/>
    </w:rPr>
  </w:style>
  <w:style w:type="character" w:customStyle="1" w:styleId="27">
    <w:name w:val="标题 2 字符"/>
    <w:link w:val="3"/>
    <w:semiHidden/>
    <w:qFormat/>
    <w:uiPriority w:val="9"/>
    <w:rPr>
      <w:rFonts w:ascii="Cambria" w:hAnsi="Cambria" w:eastAsia="宋体" w:cs="Times New Roman"/>
      <w:b/>
      <w:bCs/>
      <w:kern w:val="2"/>
      <w:sz w:val="32"/>
      <w:szCs w:val="32"/>
    </w:rPr>
  </w:style>
  <w:style w:type="character" w:customStyle="1" w:styleId="28">
    <w:name w:val="批注文字 字符"/>
    <w:link w:val="6"/>
    <w:qFormat/>
    <w:uiPriority w:val="99"/>
    <w:rPr>
      <w:kern w:val="2"/>
      <w:sz w:val="21"/>
    </w:rPr>
  </w:style>
  <w:style w:type="character" w:customStyle="1" w:styleId="29">
    <w:name w:val="批注框文本 字符"/>
    <w:link w:val="11"/>
    <w:semiHidden/>
    <w:qFormat/>
    <w:uiPriority w:val="0"/>
    <w:rPr>
      <w:kern w:val="2"/>
      <w:sz w:val="18"/>
      <w:szCs w:val="18"/>
    </w:rPr>
  </w:style>
  <w:style w:type="paragraph" w:customStyle="1" w:styleId="30">
    <w:name w:val="TOC 标题1"/>
    <w:basedOn w:val="2"/>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character" w:customStyle="1" w:styleId="31">
    <w:name w:val="font31"/>
    <w:basedOn w:val="18"/>
    <w:qFormat/>
    <w:uiPriority w:val="0"/>
    <w:rPr>
      <w:rFonts w:hint="eastAsia" w:ascii="宋体" w:hAnsi="宋体" w:eastAsia="宋体" w:cs="宋体"/>
      <w:color w:val="000000"/>
      <w:sz w:val="21"/>
      <w:szCs w:val="21"/>
      <w:u w:val="none"/>
    </w:rPr>
  </w:style>
  <w:style w:type="character" w:customStyle="1" w:styleId="32">
    <w:name w:val="font11"/>
    <w:basedOn w:val="1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2058</Words>
  <Characters>11733</Characters>
  <Lines>97</Lines>
  <Paragraphs>27</Paragraphs>
  <TotalTime>0</TotalTime>
  <ScaleCrop>false</ScaleCrop>
  <LinksUpToDate>false</LinksUpToDate>
  <CharactersWithSpaces>13764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2011-07-18T01:07:00Z</dcterms:created>
  <dc:creator>Administrator</dc:creator>
  <cp:lastModifiedBy>❤</cp:lastModifiedBy>
  <cp:lastPrinted>2018-04-18T05:57:00Z</cp:lastPrinted>
  <dcterms:modified xsi:type="dcterms:W3CDTF">2021-06-15T06:42:34Z</dcterms:modified>
  <dc:title>合同编号：  </dc:title>
  <cp:revision>338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F659F6838E57432A8071719FD52C991A</vt:lpwstr>
  </property>
</Properties>
</file>